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04" w:rsidRPr="003125CC" w:rsidRDefault="003E2F04" w:rsidP="007A1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>АННОТАЦИЯ</w:t>
      </w:r>
    </w:p>
    <w:p w:rsidR="003E2F04" w:rsidRDefault="003E2F04" w:rsidP="007A13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Частные вопросы клинической фармакологии</w:t>
      </w:r>
      <w:r w:rsidRPr="003125CC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F04" w:rsidRPr="003125CC" w:rsidRDefault="003E2F04" w:rsidP="007A13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/>
          <w:b/>
          <w:bCs/>
          <w:sz w:val="24"/>
          <w:szCs w:val="24"/>
        </w:rPr>
        <w:t>образовательной программы (О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/>
          <w:b/>
          <w:bCs/>
          <w:sz w:val="24"/>
          <w:szCs w:val="24"/>
        </w:rPr>
        <w:t>ОП)</w:t>
      </w:r>
    </w:p>
    <w:p w:rsidR="003E2F04" w:rsidRDefault="003E2F04" w:rsidP="007A134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 xml:space="preserve">специальности </w:t>
      </w:r>
      <w:r w:rsidRPr="007A134F">
        <w:rPr>
          <w:rFonts w:ascii="Times New Roman" w:hAnsi="Times New Roman"/>
          <w:b/>
          <w:bCs/>
          <w:sz w:val="24"/>
          <w:szCs w:val="24"/>
        </w:rPr>
        <w:t>31.08.37 Клиническая фармакология</w:t>
      </w:r>
      <w:bookmarkStart w:id="0" w:name="_GoBack"/>
      <w:bookmarkEnd w:id="0"/>
    </w:p>
    <w:p w:rsidR="003E2F04" w:rsidRPr="004C1DDB" w:rsidRDefault="003E2F04" w:rsidP="004C1D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31FA4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C1DDB">
        <w:rPr>
          <w:rFonts w:ascii="Times New Roman" w:hAnsi="Times New Roman"/>
          <w:sz w:val="24"/>
          <w:szCs w:val="24"/>
        </w:rPr>
        <w:t>формирование у ординаторов знаний, умений и навыков выбора э</w:t>
      </w:r>
      <w:r w:rsidRPr="004C1DDB">
        <w:rPr>
          <w:rFonts w:ascii="Times New Roman" w:hAnsi="Times New Roman"/>
          <w:sz w:val="24"/>
          <w:szCs w:val="24"/>
        </w:rPr>
        <w:t>ф</w:t>
      </w:r>
      <w:r w:rsidRPr="004C1DDB">
        <w:rPr>
          <w:rFonts w:ascii="Times New Roman" w:hAnsi="Times New Roman"/>
          <w:sz w:val="24"/>
          <w:szCs w:val="24"/>
        </w:rPr>
        <w:t>фективных, безопасных лекарственных средств и режимов их дозирования на основе стандартов диагностики и лечения, клинических рекомендаций, формуляров, перечня жизненно необходимых и важнейших лекарственных средств для проведения современной индивидуализированной, ко</w:t>
      </w:r>
      <w:r w:rsidRPr="004C1DDB">
        <w:rPr>
          <w:rFonts w:ascii="Times New Roman" w:hAnsi="Times New Roman"/>
          <w:sz w:val="24"/>
          <w:szCs w:val="24"/>
        </w:rPr>
        <w:t>н</w:t>
      </w:r>
      <w:r w:rsidRPr="004C1DDB">
        <w:rPr>
          <w:rFonts w:ascii="Times New Roman" w:hAnsi="Times New Roman"/>
          <w:sz w:val="24"/>
          <w:szCs w:val="24"/>
        </w:rPr>
        <w:t>тролируемой фармакотерапии, с использованием основных данных по фармакокинетике, фарм</w:t>
      </w:r>
      <w:r w:rsidRPr="004C1DDB">
        <w:rPr>
          <w:rFonts w:ascii="Times New Roman" w:hAnsi="Times New Roman"/>
          <w:sz w:val="24"/>
          <w:szCs w:val="24"/>
        </w:rPr>
        <w:t>а</w:t>
      </w:r>
      <w:r w:rsidRPr="004C1DDB">
        <w:rPr>
          <w:rFonts w:ascii="Times New Roman" w:hAnsi="Times New Roman"/>
          <w:sz w:val="24"/>
          <w:szCs w:val="24"/>
        </w:rPr>
        <w:t xml:space="preserve">кодинамике, фармакогенетике, фармакоэкономике, фармакоэпидемиологии, по взаимодействию лекарственных средств, с учетом проявлений нежелательных лекарственных реакций, положений доказательной медицины, законодательства РФ. </w:t>
      </w:r>
    </w:p>
    <w:p w:rsidR="003E2F04" w:rsidRDefault="003E2F04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Частные вопросы клинической фармакологии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зовательной программы</w:t>
      </w:r>
      <w:bookmarkEnd w:id="1"/>
    </w:p>
    <w:p w:rsidR="003E2F04" w:rsidRPr="00A02601" w:rsidRDefault="003E2F04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дисциплины«</w:t>
      </w:r>
      <w:r>
        <w:rPr>
          <w:rFonts w:ascii="Times New Roman" w:hAnsi="Times New Roman"/>
          <w:sz w:val="24"/>
          <w:szCs w:val="24"/>
        </w:rPr>
        <w:t>Частные вопросы клинической фармакология</w:t>
      </w:r>
      <w:r w:rsidRPr="00134766">
        <w:rPr>
          <w:rFonts w:ascii="Times New Roman" w:hAnsi="Times New Roman"/>
          <w:sz w:val="24"/>
          <w:szCs w:val="24"/>
        </w:rPr>
        <w:t>»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3E2F04" w:rsidRDefault="003E2F04" w:rsidP="007C5D97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4"/>
        <w:gridCol w:w="2074"/>
        <w:gridCol w:w="2126"/>
        <w:gridCol w:w="2268"/>
        <w:gridCol w:w="2127"/>
        <w:gridCol w:w="1302"/>
      </w:tblGrid>
      <w:tr w:rsidR="003E2F04" w:rsidRPr="007A134F" w:rsidTr="00725027">
        <w:trPr>
          <w:trHeight w:val="340"/>
        </w:trPr>
        <w:tc>
          <w:tcPr>
            <w:tcW w:w="364" w:type="dxa"/>
            <w:vMerge w:val="restart"/>
          </w:tcPr>
          <w:p w:rsidR="003E2F04" w:rsidRPr="007A134F" w:rsidRDefault="003E2F04" w:rsidP="00642A2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п /№</w:t>
            </w:r>
          </w:p>
        </w:tc>
        <w:tc>
          <w:tcPr>
            <w:tcW w:w="2074" w:type="dxa"/>
            <w:vMerge w:val="restart"/>
            <w:vAlign w:val="center"/>
          </w:tcPr>
          <w:p w:rsidR="003E2F04" w:rsidRPr="007A134F" w:rsidRDefault="003E2F04" w:rsidP="007A13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Содержание ко</w:t>
            </w: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  <w:p w:rsidR="003E2F04" w:rsidRPr="007A134F" w:rsidRDefault="003E2F04" w:rsidP="007A13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7823" w:type="dxa"/>
            <w:gridSpan w:val="4"/>
          </w:tcPr>
          <w:p w:rsidR="003E2F04" w:rsidRPr="007A134F" w:rsidRDefault="003E2F04" w:rsidP="00642A2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обучающиеся должны:</w:t>
            </w:r>
          </w:p>
        </w:tc>
      </w:tr>
      <w:tr w:rsidR="003E2F04" w:rsidRPr="007A134F" w:rsidTr="00725027">
        <w:trPr>
          <w:trHeight w:val="340"/>
        </w:trPr>
        <w:tc>
          <w:tcPr>
            <w:tcW w:w="364" w:type="dxa"/>
            <w:vMerge/>
          </w:tcPr>
          <w:p w:rsidR="003E2F04" w:rsidRPr="007A134F" w:rsidRDefault="003E2F04" w:rsidP="00642A2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E2F04" w:rsidRPr="007A134F" w:rsidRDefault="003E2F04" w:rsidP="00642A2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2F04" w:rsidRPr="007A134F" w:rsidRDefault="003E2F04" w:rsidP="007A13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68" w:type="dxa"/>
            <w:vAlign w:val="center"/>
          </w:tcPr>
          <w:p w:rsidR="003E2F04" w:rsidRPr="007A134F" w:rsidRDefault="003E2F04" w:rsidP="007A13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127" w:type="dxa"/>
            <w:vAlign w:val="center"/>
          </w:tcPr>
          <w:p w:rsidR="003E2F04" w:rsidRPr="007A134F" w:rsidRDefault="003E2F04" w:rsidP="007A13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302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Оцено</w:t>
            </w: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ные сре</w:t>
            </w: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A134F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</w:tr>
    </w:tbl>
    <w:p w:rsidR="003E2F04" w:rsidRPr="007A134F" w:rsidRDefault="003E2F04" w:rsidP="007A134F">
      <w:pPr>
        <w:spacing w:after="0" w:line="12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4"/>
        <w:gridCol w:w="2074"/>
        <w:gridCol w:w="2126"/>
        <w:gridCol w:w="2268"/>
        <w:gridCol w:w="2127"/>
        <w:gridCol w:w="1302"/>
      </w:tblGrid>
      <w:tr w:rsidR="003E2F04" w:rsidRPr="007A134F" w:rsidTr="007A134F">
        <w:trPr>
          <w:trHeight w:val="340"/>
          <w:tblHeader/>
        </w:trPr>
        <w:tc>
          <w:tcPr>
            <w:tcW w:w="364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2F04" w:rsidRPr="007A134F" w:rsidTr="007A134F">
        <w:trPr>
          <w:trHeight w:val="340"/>
        </w:trPr>
        <w:tc>
          <w:tcPr>
            <w:tcW w:w="364" w:type="dxa"/>
          </w:tcPr>
          <w:p w:rsidR="003E2F04" w:rsidRPr="007A134F" w:rsidRDefault="003E2F04" w:rsidP="00913503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E2F04" w:rsidRPr="007A134F" w:rsidRDefault="003E2F04" w:rsidP="0064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готовность к абс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рактному мышл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нию, анализу, си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тезу (УК-1)</w:t>
            </w:r>
          </w:p>
        </w:tc>
        <w:tc>
          <w:tcPr>
            <w:tcW w:w="2126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 xml:space="preserve"> - понятия абс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рактного мышл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ния, анализа, си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теза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социально-значимые пробл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мы и их связь с вопросами лека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ственного обесп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чения населения</w:t>
            </w:r>
          </w:p>
        </w:tc>
        <w:tc>
          <w:tcPr>
            <w:tcW w:w="2268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использовать на практике методы гуманитарных, 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тественнонаучных, медико-биологических и клинических наук в различных видах профессиональной и социальной де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оценить состояние и причины измен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ния состояния п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циента, диффере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цировать роль 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карственной тер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пии и других 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торов.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дать прогноз при различных видах медикаментозного вмешательства, а также без него</w:t>
            </w:r>
          </w:p>
        </w:tc>
        <w:tc>
          <w:tcPr>
            <w:tcW w:w="2127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навыками анализа и синтеза данных анамнеза забол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вания, фармакол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гического анамн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за, прогнозиров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ния возможностей модификации 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чения заболевания и характера си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птомов на фоне лечения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навыками инте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претации опроса, физикальных и лабораторно-инструментальных данных  с точки зрения анализа эффективности и безопасности фармакотерапии</w:t>
            </w:r>
          </w:p>
        </w:tc>
        <w:tc>
          <w:tcPr>
            <w:tcW w:w="1302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ные вопр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3E2F04" w:rsidRPr="007A134F" w:rsidTr="007A134F">
        <w:trPr>
          <w:trHeight w:val="340"/>
        </w:trPr>
        <w:tc>
          <w:tcPr>
            <w:tcW w:w="364" w:type="dxa"/>
          </w:tcPr>
          <w:p w:rsidR="003E2F04" w:rsidRPr="007A134F" w:rsidRDefault="003E2F04" w:rsidP="00913503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E2F04" w:rsidRPr="007A134F" w:rsidRDefault="003E2F04" w:rsidP="0064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готовность к управлению ко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лективом, тол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рантно восприн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мать социальные, этнические, ко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фессиональные и культурные разл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чия (УК-2)</w:t>
            </w:r>
          </w:p>
        </w:tc>
        <w:tc>
          <w:tcPr>
            <w:tcW w:w="2126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должностные об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занности субъе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тов обращения 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карственных средств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принципы упра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ления коллект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вом,  - принципы субординации в медицинском ко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лективе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-актуальные этич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ские и деонтол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гические пробл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мы современной медицины;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-принципы тол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рантного воспр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ятия социальных, этнических, ко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фессиональных и культурных ра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личий</w:t>
            </w:r>
          </w:p>
        </w:tc>
        <w:tc>
          <w:tcPr>
            <w:tcW w:w="2268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 xml:space="preserve">- работать в группе,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вести дискуссию на профессиональные темы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-рационально план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ровать время свое и медперсонала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решать этические и деонтологические проблемы.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-толерантно воспр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нимать социальные, этнические, кон-фессиональные и культурные разл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чия при оказании клинико-фармакологический помощи</w:t>
            </w:r>
          </w:p>
        </w:tc>
        <w:tc>
          <w:tcPr>
            <w:tcW w:w="2127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навыками диску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сии на професси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нальные темы,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навыками опер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рования источн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ками клиникофа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макологической информации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навыками дифф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ренциации в по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готовке информ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ции о лекарстве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ных средствах  коллегам, средн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му медперсоналу, пациентам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подготовки 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зентации, сист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матизации клин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ко-фармаколо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гической инфо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мации в докладе, схемах, таблицах</w:t>
            </w:r>
          </w:p>
        </w:tc>
        <w:tc>
          <w:tcPr>
            <w:tcW w:w="1302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ные вопр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3E2F04" w:rsidRPr="007A134F" w:rsidTr="007A134F">
        <w:trPr>
          <w:trHeight w:val="340"/>
        </w:trPr>
        <w:tc>
          <w:tcPr>
            <w:tcW w:w="364" w:type="dxa"/>
          </w:tcPr>
          <w:p w:rsidR="003E2F04" w:rsidRPr="007A134F" w:rsidRDefault="003E2F04" w:rsidP="00913503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E2F04" w:rsidRPr="007A134F" w:rsidRDefault="003E2F04" w:rsidP="0064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готовность к уч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стию в педагогич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ской деятельности по программам среднего и высш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го медицинского образования или среднего и высш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го фармацевтич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ского образования, а также по допо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нительным 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фессиональным программам для лиц, имеющих среднее профе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сиональное или высшее образов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ние в порядке, 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тановленном фед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ральным органом исполнительной власти, осущест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ляющим функции по выработке гос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дарственной пол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тики и нормати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но-правовому 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гулированию в сфере здравоохр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нения (УК-3).</w:t>
            </w:r>
          </w:p>
        </w:tc>
        <w:tc>
          <w:tcPr>
            <w:tcW w:w="2126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основы  медици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ского законод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тельства и права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рекомендательные документы по 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ставлению уче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б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ных рабочих 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теоретические и практические 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пекты раздела «Частные вопросы клинической 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макологии»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-осуществлять сам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стоятельную работу с учебной, научной, нормативной и справочной литер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турой и проводить обучение студентов и курсантов п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стдипломной по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готовки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-использовать  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фессиональную 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формацию по кл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нической фармак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логии на иностра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ном языке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использовать в 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боте рекоменд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тельые  документы по вопросам инд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видуализации 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макотерапии при разлизных нозол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гиях</w:t>
            </w:r>
          </w:p>
        </w:tc>
        <w:tc>
          <w:tcPr>
            <w:tcW w:w="2127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-навыками структ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рирования инфо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мации по частным вопросам клин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ческой фармак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логии, составл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нием тестов, 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туационных задач, контрольных 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просов  и презе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таций с учетом б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зовых знаний ст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дентов медици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ских ВУЗов.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-навыками регис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рации на профе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сиональных мед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цинских сайтах, выбора необход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мой информации по общим вопр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сам КФ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-самостоятельной работы с учебной, научной, норм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тивной и справо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ной литературой.</w:t>
            </w:r>
          </w:p>
        </w:tc>
        <w:tc>
          <w:tcPr>
            <w:tcW w:w="1302" w:type="dxa"/>
          </w:tcPr>
          <w:p w:rsidR="003E2F04" w:rsidRPr="007A134F" w:rsidRDefault="003E2F04" w:rsidP="006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ные вопр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3E2F04" w:rsidRPr="007A134F" w:rsidTr="007A134F">
        <w:trPr>
          <w:trHeight w:val="340"/>
        </w:trPr>
        <w:tc>
          <w:tcPr>
            <w:tcW w:w="364" w:type="dxa"/>
          </w:tcPr>
          <w:p w:rsidR="003E2F04" w:rsidRPr="007A134F" w:rsidRDefault="003E2F04" w:rsidP="00913503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E2F04" w:rsidRPr="007A134F" w:rsidRDefault="003E2F04" w:rsidP="0064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готовность к опр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делению у пацие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тов патологич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ских состояний, симптомов, си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дромов заболев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ний, нозологич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ских форм в соо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ветствии с Межд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народной стат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стической класс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фикацией болезней и проблем, связа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ных со здоровьем (ПК-5)</w:t>
            </w:r>
          </w:p>
        </w:tc>
        <w:tc>
          <w:tcPr>
            <w:tcW w:w="2126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-знать основные диагностические критерии дифф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ренциальной 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агностики и вер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фикации основных патологических состояний в соо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ветствии с Ме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дународной стат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стической класс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фикацией боле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ней и проблем, связанных со зд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ровьем.</w:t>
            </w:r>
          </w:p>
        </w:tc>
        <w:tc>
          <w:tcPr>
            <w:tcW w:w="2268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-провести дифф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ренциальную диа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ностику заболев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ния с целью опр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деления правильн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сти выбора лекарс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венного средства, определения вер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ятности развития побочного эффекта лекарств</w:t>
            </w:r>
          </w:p>
        </w:tc>
        <w:tc>
          <w:tcPr>
            <w:tcW w:w="2127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-навыками вериф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кация основных патологических состояний в соо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ветствии с Ме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дународной стат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стической класс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фикацией боле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ней и проблем, связанных со зд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ровьем.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-навыками выявл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ния нежелател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ных побочных 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акций на </w:t>
            </w:r>
            <w:r>
              <w:rPr>
                <w:rFonts w:ascii="Times New Roman" w:hAnsi="Times New Roman"/>
                <w:sz w:val="24"/>
                <w:szCs w:val="24"/>
              </w:rPr>
              <w:t>ЛС.</w:t>
            </w:r>
          </w:p>
        </w:tc>
        <w:tc>
          <w:tcPr>
            <w:tcW w:w="1302" w:type="dxa"/>
          </w:tcPr>
          <w:p w:rsidR="003E2F04" w:rsidRPr="007A134F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тестовые задания, контрол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ные вопр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сы, ситу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ционные задачи, 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фераты.</w:t>
            </w:r>
          </w:p>
        </w:tc>
      </w:tr>
      <w:tr w:rsidR="003E2F04" w:rsidRPr="007A134F" w:rsidTr="007A134F">
        <w:trPr>
          <w:trHeight w:val="340"/>
        </w:trPr>
        <w:tc>
          <w:tcPr>
            <w:tcW w:w="364" w:type="dxa"/>
          </w:tcPr>
          <w:p w:rsidR="003E2F04" w:rsidRPr="007A134F" w:rsidRDefault="003E2F04" w:rsidP="00913503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E2F04" w:rsidRDefault="003E2F04" w:rsidP="0064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готовность к обе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печению раци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нального выбора комплексной 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дикаментозной 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рапии пациентов, нуждающихся в оказании медици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  <w:p w:rsidR="003E2F04" w:rsidRPr="007A134F" w:rsidRDefault="003E2F04" w:rsidP="0064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(ПК-6)</w:t>
            </w:r>
          </w:p>
        </w:tc>
        <w:tc>
          <w:tcPr>
            <w:tcW w:w="2126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-особенности 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макокинетики и фармакодинамики, взаимодействий, механизмов разв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тия НПР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личных клинико-фармакологич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ских групп </w:t>
            </w:r>
          </w:p>
          <w:p w:rsidR="003E2F04" w:rsidRPr="007A134F" w:rsidRDefault="003E2F04" w:rsidP="00725027">
            <w:pPr>
              <w:widowControl w:val="0"/>
              <w:suppressAutoHyphens/>
              <w:autoSpaceDE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 xml:space="preserve">-лабораторные методы оценки фармакокинетики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 (терапевти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ческий лекарственный мониторинг)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 xml:space="preserve"> -основные исто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ники професси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нальной медици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ской информации о лекарственных препаратах..</w:t>
            </w:r>
          </w:p>
        </w:tc>
        <w:tc>
          <w:tcPr>
            <w:tcW w:w="2268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-оценить состояние пациента и выбрать необходимый объем лекарственной 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рапии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-оценить риск во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никновения побо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ных эффектов 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карств, соотнош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ние риск/польза.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-выбирать комплекс лекарственной 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рапии, основываясь на патогенезе заб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левания, данных доказательной 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дицины, регламе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тирующих док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-прогнозировать возможность разв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тия нежелательных побочных реакций</w:t>
            </w:r>
          </w:p>
        </w:tc>
        <w:tc>
          <w:tcPr>
            <w:tcW w:w="2127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 xml:space="preserve">-навыками выбора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 с учетом инд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видуальных ос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бенностей пацие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-применения 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циональных ко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бинаций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 навыками корре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ции необоснова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ной полипрагм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зии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-навыками выбора методов проф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лактики и лечения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нежелательных эффектов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-навыкам выбора фармакотерапии с учетом данных фармакоэконом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ческих исследов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302" w:type="dxa"/>
          </w:tcPr>
          <w:p w:rsidR="003E2F04" w:rsidRPr="007A134F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тестовые задания, конт</w:t>
            </w:r>
          </w:p>
          <w:p w:rsidR="003E2F04" w:rsidRPr="007A134F" w:rsidRDefault="003E2F04" w:rsidP="006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рольные вопросы, ситуацио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ные задачи, рефераты.</w:t>
            </w:r>
          </w:p>
        </w:tc>
      </w:tr>
      <w:tr w:rsidR="003E2F04" w:rsidRPr="007A134F" w:rsidTr="007A134F">
        <w:trPr>
          <w:trHeight w:val="340"/>
        </w:trPr>
        <w:tc>
          <w:tcPr>
            <w:tcW w:w="364" w:type="dxa"/>
          </w:tcPr>
          <w:p w:rsidR="003E2F04" w:rsidRPr="007A134F" w:rsidRDefault="003E2F04" w:rsidP="00913503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E2F04" w:rsidRPr="007A134F" w:rsidRDefault="003E2F04" w:rsidP="0064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готовность к пр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менению приро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ных лечебных 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торов, лекарстве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ной, немедикаме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тозной терапии и других методов у пациентов, ну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дающихся в мед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цинской реабил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тации и санаторно-курортном лечении (ПК-8)</w:t>
            </w:r>
          </w:p>
        </w:tc>
        <w:tc>
          <w:tcPr>
            <w:tcW w:w="2126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-показания, прот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вопоказания и 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временные  во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можности испол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зования, лекарс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венной терапии у пациентов, ну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дающихся в мед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цинской реабил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тации и санато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но-курортном 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чении.  </w:t>
            </w:r>
          </w:p>
        </w:tc>
        <w:tc>
          <w:tcPr>
            <w:tcW w:w="2268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-осуществлять 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макологическое 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чение в процессе медицинской ре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билитации и сан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 xml:space="preserve">торно-курортного лечения </w:t>
            </w:r>
          </w:p>
        </w:tc>
        <w:tc>
          <w:tcPr>
            <w:tcW w:w="2127" w:type="dxa"/>
          </w:tcPr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-методологией 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пользования фа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макотерапии в м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дицинской реаб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литаци и санато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но-курортном л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чении</w:t>
            </w:r>
          </w:p>
          <w:p w:rsidR="003E2F04" w:rsidRPr="007A134F" w:rsidRDefault="003E2F04" w:rsidP="007A13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E2F04" w:rsidRPr="007A134F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тестовые задания, конт</w:t>
            </w:r>
          </w:p>
          <w:p w:rsidR="003E2F04" w:rsidRPr="007A134F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4F">
              <w:rPr>
                <w:rFonts w:ascii="Times New Roman" w:hAnsi="Times New Roman"/>
                <w:sz w:val="24"/>
                <w:szCs w:val="24"/>
              </w:rPr>
              <w:t>рольные вопросы, ситуацио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34F">
              <w:rPr>
                <w:rFonts w:ascii="Times New Roman" w:hAnsi="Times New Roman"/>
                <w:sz w:val="24"/>
                <w:szCs w:val="24"/>
              </w:rPr>
              <w:t>ные задачи, рефераты.</w:t>
            </w:r>
          </w:p>
        </w:tc>
      </w:tr>
    </w:tbl>
    <w:p w:rsidR="003E2F04" w:rsidRPr="007C5D97" w:rsidRDefault="003E2F04" w:rsidP="007C5D97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sz w:val="24"/>
          <w:szCs w:val="24"/>
        </w:rPr>
      </w:pPr>
    </w:p>
    <w:p w:rsidR="003E2F04" w:rsidRPr="002F7F20" w:rsidRDefault="003E2F04" w:rsidP="007C5D97">
      <w:pPr>
        <w:pStyle w:val="10"/>
        <w:numPr>
          <w:ilvl w:val="0"/>
          <w:numId w:val="11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 w:rsidRPr="002F7F20">
        <w:rPr>
          <w:color w:val="000000"/>
          <w:sz w:val="24"/>
          <w:szCs w:val="24"/>
        </w:rPr>
        <w:t>Место учебной дисциплины «</w:t>
      </w:r>
      <w:r>
        <w:rPr>
          <w:color w:val="000000"/>
          <w:sz w:val="24"/>
          <w:szCs w:val="24"/>
        </w:rPr>
        <w:t>Частные вопросы клинической фармакологии</w:t>
      </w:r>
      <w:r w:rsidRPr="002F7F20">
        <w:rPr>
          <w:color w:val="000000"/>
          <w:sz w:val="24"/>
          <w:szCs w:val="24"/>
        </w:rPr>
        <w:t>» в стру</w:t>
      </w:r>
      <w:r w:rsidRPr="002F7F20">
        <w:rPr>
          <w:color w:val="000000"/>
          <w:sz w:val="24"/>
          <w:szCs w:val="24"/>
        </w:rPr>
        <w:t>к</w:t>
      </w:r>
      <w:r w:rsidRPr="002F7F20">
        <w:rPr>
          <w:color w:val="000000"/>
          <w:sz w:val="24"/>
          <w:szCs w:val="24"/>
        </w:rPr>
        <w:t>туре О</w:t>
      </w:r>
      <w:r>
        <w:rPr>
          <w:color w:val="000000"/>
          <w:sz w:val="24"/>
          <w:szCs w:val="24"/>
        </w:rPr>
        <w:t>П</w:t>
      </w:r>
      <w:r w:rsidRPr="002F7F20">
        <w:rPr>
          <w:color w:val="000000"/>
          <w:sz w:val="24"/>
          <w:szCs w:val="24"/>
        </w:rPr>
        <w:t>ОП университета</w:t>
      </w:r>
    </w:p>
    <w:p w:rsidR="003E2F04" w:rsidRPr="007C5D97" w:rsidRDefault="003E2F04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b w:val="0"/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 xml:space="preserve">Учебная </w:t>
      </w:r>
      <w:r w:rsidRPr="00725027">
        <w:rPr>
          <w:b w:val="0"/>
          <w:color w:val="000000"/>
          <w:sz w:val="24"/>
          <w:szCs w:val="24"/>
        </w:rPr>
        <w:t>дисциплина «Частные вопросы клинической фармакологии» Б1.Б.1 относится к базовой части дисциплины (модуля) Б1, является обязательной для изучения</w:t>
      </w:r>
    </w:p>
    <w:p w:rsidR="003E2F04" w:rsidRPr="00F8398B" w:rsidRDefault="003E2F04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sz w:val="24"/>
          <w:szCs w:val="24"/>
        </w:rPr>
      </w:pPr>
    </w:p>
    <w:p w:rsidR="003E2F04" w:rsidRPr="004C1FF1" w:rsidRDefault="003E2F04" w:rsidP="007C5D97">
      <w:pPr>
        <w:pStyle w:val="a"/>
        <w:numPr>
          <w:ilvl w:val="0"/>
          <w:numId w:val="11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3E2F04" w:rsidRDefault="003E2F04" w:rsidP="007C5D97">
      <w:pPr>
        <w:pStyle w:val="a"/>
        <w:tabs>
          <w:tab w:val="clear" w:pos="756"/>
        </w:tabs>
        <w:spacing w:line="240" w:lineRule="auto"/>
        <w:ind w:left="0" w:firstLine="709"/>
      </w:pPr>
      <w:r>
        <w:t>28</w:t>
      </w:r>
      <w:r w:rsidRPr="00C57E98">
        <w:t xml:space="preserve"> зачетны</w:t>
      </w:r>
      <w:r>
        <w:t>х</w:t>
      </w:r>
      <w:r w:rsidRPr="00C57E98">
        <w:t xml:space="preserve"> единиц </w:t>
      </w:r>
      <w:r>
        <w:t>(1008</w:t>
      </w:r>
      <w:r w:rsidRPr="00C57E98">
        <w:t xml:space="preserve"> час</w:t>
      </w:r>
      <w:r>
        <w:t>ов)</w:t>
      </w:r>
    </w:p>
    <w:p w:rsidR="003E2F04" w:rsidRDefault="003E2F04" w:rsidP="007C5D97">
      <w:pPr>
        <w:pStyle w:val="a"/>
        <w:tabs>
          <w:tab w:val="clear" w:pos="756"/>
        </w:tabs>
        <w:spacing w:line="240" w:lineRule="auto"/>
        <w:ind w:left="0" w:firstLine="709"/>
      </w:pPr>
    </w:p>
    <w:p w:rsidR="003E2F04" w:rsidRPr="00F10606" w:rsidRDefault="003E2F04" w:rsidP="007C5D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606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1276"/>
        <w:gridCol w:w="1922"/>
        <w:gridCol w:w="6520"/>
      </w:tblGrid>
      <w:tr w:rsidR="003E2F04" w:rsidRPr="00985EC1" w:rsidTr="00263F80">
        <w:trPr>
          <w:jc w:val="center"/>
        </w:trPr>
        <w:tc>
          <w:tcPr>
            <w:tcW w:w="312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EC1">
              <w:rPr>
                <w:rFonts w:ascii="Times New Roman" w:hAnsi="Times New Roman"/>
                <w:b/>
                <w:bCs/>
              </w:rPr>
              <w:t>п/№</w:t>
            </w:r>
          </w:p>
        </w:tc>
        <w:tc>
          <w:tcPr>
            <w:tcW w:w="1276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EC1">
              <w:rPr>
                <w:rFonts w:ascii="Times New Roman" w:hAnsi="Times New Roman"/>
                <w:b/>
              </w:rPr>
              <w:t>№ комп</w:t>
            </w:r>
            <w:r w:rsidRPr="00985EC1">
              <w:rPr>
                <w:rFonts w:ascii="Times New Roman" w:hAnsi="Times New Roman"/>
                <w:b/>
              </w:rPr>
              <w:t>е</w:t>
            </w:r>
            <w:r w:rsidRPr="00985EC1">
              <w:rPr>
                <w:rFonts w:ascii="Times New Roman" w:hAnsi="Times New Roman"/>
                <w:b/>
              </w:rPr>
              <w:t>тенции</w:t>
            </w:r>
          </w:p>
        </w:tc>
        <w:tc>
          <w:tcPr>
            <w:tcW w:w="1922" w:type="dxa"/>
            <w:vAlign w:val="center"/>
          </w:tcPr>
          <w:p w:rsidR="003E2F04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EC1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3E2F04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EC1">
              <w:rPr>
                <w:rFonts w:ascii="Times New Roman" w:hAnsi="Times New Roman"/>
                <w:b/>
                <w:bCs/>
              </w:rPr>
              <w:t xml:space="preserve">раздела учебной </w:t>
            </w:r>
          </w:p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EC1">
              <w:rPr>
                <w:rFonts w:ascii="Times New Roman" w:hAnsi="Times New Roman"/>
                <w:b/>
                <w:bCs/>
              </w:rPr>
              <w:t>дисциплины</w:t>
            </w:r>
          </w:p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EC1">
              <w:rPr>
                <w:rFonts w:ascii="Times New Roman" w:hAnsi="Times New Roman"/>
                <w:b/>
                <w:bCs/>
              </w:rPr>
              <w:t>(модуля)</w:t>
            </w:r>
          </w:p>
        </w:tc>
        <w:tc>
          <w:tcPr>
            <w:tcW w:w="6520" w:type="dxa"/>
            <w:vAlign w:val="center"/>
          </w:tcPr>
          <w:p w:rsidR="003E2F04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EC1">
              <w:rPr>
                <w:rFonts w:ascii="Times New Roman" w:hAnsi="Times New Roman"/>
                <w:b/>
              </w:rPr>
              <w:t>Содержание раздела в дидактических единицах</w:t>
            </w:r>
          </w:p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EC1">
              <w:rPr>
                <w:rFonts w:ascii="Times New Roman" w:hAnsi="Times New Roman"/>
                <w:b/>
              </w:rPr>
              <w:t xml:space="preserve"> (темы разделов, модульные единицы)</w:t>
            </w:r>
          </w:p>
        </w:tc>
      </w:tr>
    </w:tbl>
    <w:p w:rsidR="003E2F04" w:rsidRPr="00263F80" w:rsidRDefault="003E2F04" w:rsidP="00263F80">
      <w:pPr>
        <w:spacing w:after="0" w:line="120" w:lineRule="auto"/>
        <w:rPr>
          <w:sz w:val="2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1276"/>
        <w:gridCol w:w="1922"/>
        <w:gridCol w:w="6520"/>
      </w:tblGrid>
      <w:tr w:rsidR="003E2F04" w:rsidRPr="00985EC1" w:rsidTr="00263F80">
        <w:trPr>
          <w:tblHeader/>
          <w:jc w:val="center"/>
        </w:trPr>
        <w:tc>
          <w:tcPr>
            <w:tcW w:w="312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22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520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 применяемых при заболеваниях органов дыхания</w:t>
            </w:r>
          </w:p>
        </w:tc>
        <w:tc>
          <w:tcPr>
            <w:tcW w:w="6520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средств, влияющих на бронхиал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ную проходимость. Стандарты МЗ РФ, протоколы, рекоме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дации общества пульмонологов по индивидуализации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котерапии бронхолегочной патологии. Принципы купиров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ния приступа бронхиальной астмы и назначения лекарстве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ных средств для базисной терапии. Принципы купирования приступа бронхиальной астмы и назначения лекарственных средств для базисной терапии. Клиническая фармакология противокашлевых, отхаркивающих и муколитических лека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60533E">
              <w:rPr>
                <w:rFonts w:ascii="Times New Roman" w:hAnsi="Times New Roman"/>
                <w:sz w:val="24"/>
                <w:szCs w:val="24"/>
              </w:rPr>
              <w:t>4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средств. Взаимодействие бронхилитиков, мукол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тиков с глюкокортикоидами, иммуномодуляторами, антиба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териальными и антигистаминными лекарственными средств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ми. Особенности применения бронхилитиков, муколитиков при различных бронхолегочных заболеваниях. Способы до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тавки ингаляционных лекарственных средств. Фармакокин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тический и фармакодинамический мониторинг лекарственных средств, используемых в пульмонологии. 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лекарственных средств,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применяемых при заболеваниях сердечно-сосудистой си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6520" w:type="dxa"/>
            <w:vAlign w:val="center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Стандарты МЗ РФ, протоколы, рекомендации ВНОК по инд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видуализации фармакотерапии сердечно-сосудистых забол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ваний. Клиническая фармакология бета-адреноблокато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ров. Клиническая фармакология ингибиторов АПФ. Клиническая фармакология блокаторов рецепторов к ангиотензину 2.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фармакология альфа-адреноблокаторов. Клинич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ская фармакология агонистов центральных адренергических систем. Клиническая фармакология диуретиков. Клиническая фармакология блокатора ренина. Клиническая фармакология лекарственных средств с положительным инотропным эффе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том. Клиническая фармакология липидснижающих ЛС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, применяющиеся с целью лечения гипотензивных состояний. Стандарты МЗ РФ, протоколы, рекомендации ВНОК по инд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видуализации фармакотерапии сердечно-сосудистых забол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ваний при беременности. Фармакотерапия сочетанной кард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альной патологии. Лекарственные средства различных клин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ко-фармакологических групп с негативным кардиотропным побочным эффектом. Стандарты МЗ РФ, протоколы, рекоме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дации ВНОК по индивидуализации фармакотерапии серде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но-сосудистых заболеваний при нарушениях функции 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чек 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антибиотиков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Вопросы дифференциальной диагностики бактериальной 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фекции, отработка навыка интерпретации антибиотикогра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мы. Принципы рациональной антибиотикотерапии и антиби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тикопрофилактики. Контроль эффективности и безопасности антибактериальных лекарственных средств Микробиологич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ский мониторинг в ЛПУ. Клиническая фармакология фторх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нолонов. Клиническая фармакология пеницилинов. Клинич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ская фармакология цефалоспоринов. Клиническая фармакол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гия тетрациклинов и карбапенемов. Клиническая фармакол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гия макролидов. Клиническая фармакология противогрибк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вых лекарственных средств. Клиническая фармакология пр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тивогельминтных ЛС. Клиническая фармакология против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протозойных лекарственных средств. Клиническая фармак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логия антивирусных лекарственных средств. Взаимодействие антибиотиков с ЛС других клинико-фармакологических групп. Особенности назначения антибиотиков в гинекологии. Особенности назначения антибиотиков в отоларингологии. Особенности назначения антибиотиков при заболеваниях верхних дыхательных путей. Особенности назначения ант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биотиков при заболеваниях печени. Особенности назначения антибиотиков при заболеваниях почек. Особенности назнач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ния антибиотиков в гастроэнтерологии. Особенности назнач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ния антибиотиков при инфекционных заболеваниях. Клинич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ская фармакология противотуберкулезных лекарстве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ных средств. Особенности назначения антибиотиков при заболев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ниях кожи. Топические антибактериальных средства. Закон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мерности распространения устойчивых форм микрооргани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мов. Способы их преодоления и предотвращения. Роль эп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дконтроля, микробиологический мониторинг в ЛПУ. Сп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собы лечения инфекций, вызванных полирезистентной фл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 прим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няемых при ре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матических заб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леваниях и 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теопорозе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 прим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няющихся при ревматических заболеваниях. Клиническая фармакология лекарственных средств, применяющихся при остеопорозе. Клиническая фармакология лекарственных средств для базисной терапии ревматоидного артрита: преп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раты, особенности назначения, побочные эффекты. Клинич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ская фармакология цитостатиков и иммунодепрессантов. Клиническая фармакология хондропротекторов и препаратов гиалуроновой кислоты. Клиническая фармакология хондр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протекторов и препаратов гиалуроновой кислоты. Клинич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ская фармакология средств, угнетающих резорбцию кости. Клиническая фармакология средств, угнетающих резорбцию кости. Клиническая фармакология средств, стимулирующих костеобразование. Клиническая фармакология системных глюкокортикостроидов, механизм действия, фармакологич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ские эффекты, показания к назначению, особенности режима дозирования (хронобиологический ритм назначения), побо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ное действие, показания к назначению. Понятие об эквив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лентных дозах. Глюкокортикостроиды для внутрисуставного введения: препараты, показания для применения, принципы введения, побочные эффекты.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Фармакотерапия болевого синдр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Стандарты МЗ РФ, протоколы, рекомендации по лечению и профилактике головной боли, неспецифической боли в спине. Наркотические анальгетики. Стандарты МЗ РФ, протоколы, рекомендации по лечению болевого синдрома в онкологии. Особенности применения при фармакотерапии болевого си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дрома лекарственных средств из различных клинико-фармакологических групп (нитраты, спазмолитики, антисе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реторные ЛС). Механизмы возникновения болевого синдрома, виды боли и точки приложения лекарственных средств. Топ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ческое применение обезболивающих ЛС в лечении болевого синдрома. Нестероидные противовоспалительные лекарстве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ных средства и миорелаксанты в лечении болевого синдрома. Антидепрессанты, антиконвульсанты и селективные актив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торы калиевых каналов в лечении болевого синдрома в леч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нии болевого синдрома. Рациональные и нерациональные комбинации ЛС в фармакотерапии болевого синдрома. Вза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модействие анальгетических ЛС с другими клинико-фармакологическими группами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лекарственных средств,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применяющихся при заболеваниях желудочно-кишечного тракта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Стандарты МЗ РФ, протоколы, рекомендации по лечению г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строэнтерологической патологии. Фармакокинетический и фармакодинамический мониторинг лекарственных средств, используемых в гастроэнтерологии. Маастрихтский консенсус – 4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85EC1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985EC1">
              <w:rPr>
                <w:rFonts w:ascii="Times New Roman" w:hAnsi="Times New Roman"/>
                <w:sz w:val="24"/>
                <w:szCs w:val="24"/>
              </w:rPr>
              <w:t>.). Клиническая фармакология антисекреторных 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карственных средств, применяемых при заболеваниях органов пищеварения и антацидов. Клиническая фармакология лека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ственных средств, влияющих на тонус и моторику желудочно-кишечного тракта. Клиническая фармакология лекарственных средств, применяемых для лечения неязвенного колита.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фармакология желчегонных лекарственных средств и лекарственных средств, применяемых для лечения портал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ной гипертензии. Клиническая фармакология лекарственных средств, применяемых при синдроме нарушенного всасыв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ния. Фармакотерапия сочетанной гастроэнтерологической 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тологии. Особенности применения при гастроэнтерологич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ской патологии лекарственных стредств из различных клин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ко-фармакологических групп (антибиотики, анальгетики, спазмолитики, антидепрессанты, анксиолитики). Лекарстве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ные средства различных клинико-фармакологических групп с гастротоксическим побочным эффектом. 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7. Лека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ственные средс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ва в неврологии и психиатрии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Стандарты МЗ РФ, протоколы, рекомендации по индивиду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лизации фармакотерапии при патологии нервной системы. Медицинские и социальные аспекты применения психотро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ных ЛС. Фармакокинетический и фармакодинамический 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ниторинг лекарственных средств, используемых в неврологии. Фармакотерапия неотложных состояний в неврологии.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фармакология противопаркинсонических ЛС.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фармакология снотворных ЛС. Клиническая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кология антиконвульсантов. Клиническая фармакология 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тидепрессантов. Клиническая фармакология транквилизат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ров. Клиническая фармакология психостимуляторов. Взаим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действие нейротропных ЛС с другими клинико-фармакологическими группами. Лекарственные средства ра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з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личных клинико-фармакологических групп с нейротоксич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ским побочным эффектом. Взаимодействие нейротропных 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карственных средств с другими клинико-фармакологическими группами. Особенности применения при неврологической 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тологии лекарственных стредств из различных клинико-фармакологических групп (антибиотики, статины, противов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русные ЛС)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8. Клин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ческая фармак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венных средств,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применяющихся при эндокринной патологии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Стандарты МЗ РФ, протоколы, рекомендации по индивиду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лизации фармакотерапии при патологии эндокринной сист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мы. Клиническая фармакология сахароснижающих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средств. Клиническая фармакология лекарственных средств, влияющих на функцию щитовидной железы, надп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чечников. Клиническая фармакология лекарственных средств для лечения ожирения. 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 для лечения нейроэндокринных заболеваний. Особенности выбора, режим дозирования, оценка эффекти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ности и безопасности лекарственных средств для лечения нейроэндокринных заболеваний (агонисты дофаминовых 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цепторов, аналоги соматостатина, глюкокортикоиды и мин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ралокортикойды). 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9. Клин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ческая фармак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венных средств,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применяющихся в акушерстве и гинекологии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 влия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ю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щих на тонус матки. Медикаментозная контрацепция. Мед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цинские и социальные аспекты. Клиническая фармакология лекарственных средств, применяющихся в лечении климакт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рического синдрома. Особенности применения различных клинико-фармакологических групп лекарственных средств у беременных, лактирующих.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10.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кология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противоопухол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вых лекарстве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Стандарты МЗ РФ, протоколы, рекомендации по индивиду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лизации фармакотерапии в лечении опухолевых процессов. Медицинские и социальные аспекты применения противооп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холевых ЛС. Клиническая фармакология препаратов соедин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ний платины и антибиотиков в лечении опухолей. Клинич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ская фармакология алкалоидов растительного происхождения. Антиметаболиты и алкилирующие препараты в лечении оп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холей. Противоопухолевые гормональные препараты, имм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номодуляторы и иммунодепрессанты в лечении опухолей. Взаимодействие противоопухолевых лекарственных средств с другими клинико-фармакологическими группами. 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11.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кология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применяющихся при заболеваниях крови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Фармакотерапия анемий, индивидуальный выбор </w:t>
            </w:r>
            <w:r>
              <w:rPr>
                <w:rFonts w:ascii="Times New Roman" w:hAnsi="Times New Roman"/>
                <w:sz w:val="24"/>
                <w:szCs w:val="24"/>
              </w:rPr>
              <w:t>ЛП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. Клин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ческая фармакология лекарственных средств в лечении ми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лодиспластических синдромов. Клиническая фармакология гемостатиков. Методы и средства гемокомпонентной терапии. Особенности фармакотерапии осложнений после транспла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тации гемопоэтических стволовых клеток. 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12.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кология ант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тромботических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Механизмы гемостаза и точки приложения антитромботич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ских лекарственных средств. Антитромботические ЛС в леч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нии и профилактике и лечении инсультов, инфарктов миока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да, ТЭЛА. 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К-2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13.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венных средств,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применяющихся в дерматологии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Антисептические и дезинфицирующие средства в дерматол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гии. Топические лекарственные средства в дерматологии. Клиническая фармакология лекарственных средств для леч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ния угревой сыпи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К-2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14.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венных средств,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применяющихся в офтальмологии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средств, влияющих на отток вну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риглазной жидкости. Антимикробные средства, антисептики, НПВС м СПВС в офтальмологии. Лекарственные средства, используемые при хирургических офтальмологических вм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шательствах. Топические средства в офтальмологии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К-2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15.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венных средств,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применяющихся в стоматологии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средств, стимулирующих реген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рацию в стоматологии. 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применяющихся для профилактики и лечения болевого синдрома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К-2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16.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имм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нофармакология.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аллергии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иммуномодуляторов. Клинич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ская фармакология антигистаминных лекарственных средств. Клиническая фармакология цитостатиков. Клиническая фа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макология противоаллергических ЛС</w:t>
            </w:r>
          </w:p>
        </w:tc>
      </w:tr>
      <w:tr w:rsidR="003E2F04" w:rsidRPr="00985EC1" w:rsidTr="00263F80">
        <w:trPr>
          <w:jc w:val="center"/>
        </w:trPr>
        <w:tc>
          <w:tcPr>
            <w:tcW w:w="31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К-2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К-3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E2F04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922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Раздел 17. Лека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ственные средс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ва в анестезиол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гии и реанимации</w:t>
            </w:r>
          </w:p>
        </w:tc>
        <w:tc>
          <w:tcPr>
            <w:tcW w:w="6520" w:type="dxa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Индивидуализация в применении общей и местной анестезии. Современные подходы к коррекции водно-электролитных н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рушений. Лабораторные методы оценки показателей КОС. Клиническая фармакология препаратов, применяемых для коррекции КОС. Первичный реанимационный комплекс. Кл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ническая фармакология препаратов, применяемых при нео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ложных состояниях. Клиническая фармакология препаратов крови: классификация, фармакодинамические эффекты, ос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бенности применения, побочное действие. Полифункционал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ь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ные кровезаменители.</w:t>
            </w:r>
          </w:p>
        </w:tc>
      </w:tr>
    </w:tbl>
    <w:p w:rsidR="003E2F04" w:rsidRDefault="003E2F04" w:rsidP="00646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F04" w:rsidRPr="00263F80" w:rsidRDefault="003E2F04" w:rsidP="0064684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3E2F04" w:rsidRDefault="003E2F04" w:rsidP="00FA09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0983">
        <w:rPr>
          <w:rFonts w:ascii="Times New Roman" w:hAnsi="Times New Roman"/>
          <w:b/>
          <w:bCs/>
          <w:sz w:val="24"/>
          <w:szCs w:val="24"/>
        </w:rPr>
        <w:t>Виды самостоятельной работы ординаторов:</w:t>
      </w:r>
    </w:p>
    <w:p w:rsidR="003E2F04" w:rsidRPr="00FA0983" w:rsidRDefault="003E2F04" w:rsidP="00263F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83"/>
        <w:gridCol w:w="1225"/>
        <w:gridCol w:w="4174"/>
        <w:gridCol w:w="3417"/>
        <w:gridCol w:w="862"/>
      </w:tblGrid>
      <w:tr w:rsidR="003E2F04" w:rsidRPr="00985EC1" w:rsidTr="00263F80">
        <w:trPr>
          <w:trHeight w:val="340"/>
        </w:trPr>
        <w:tc>
          <w:tcPr>
            <w:tcW w:w="284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7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Год об</w:t>
            </w: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2034" w:type="pct"/>
            <w:vAlign w:val="center"/>
          </w:tcPr>
          <w:p w:rsidR="003E2F04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</w:t>
            </w:r>
          </w:p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дисциплины (модуля)</w:t>
            </w:r>
          </w:p>
        </w:tc>
        <w:tc>
          <w:tcPr>
            <w:tcW w:w="1665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Виды СР</w:t>
            </w:r>
          </w:p>
        </w:tc>
        <w:tc>
          <w:tcPr>
            <w:tcW w:w="420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</w:tbl>
    <w:p w:rsidR="003E2F04" w:rsidRPr="00263F80" w:rsidRDefault="003E2F04" w:rsidP="00263F80">
      <w:pPr>
        <w:spacing w:after="0" w:line="120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83"/>
        <w:gridCol w:w="1225"/>
        <w:gridCol w:w="4174"/>
        <w:gridCol w:w="3417"/>
        <w:gridCol w:w="862"/>
      </w:tblGrid>
      <w:tr w:rsidR="003E2F04" w:rsidRPr="00985EC1" w:rsidTr="00263F80">
        <w:trPr>
          <w:trHeight w:val="340"/>
          <w:tblHeader/>
        </w:trPr>
        <w:tc>
          <w:tcPr>
            <w:tcW w:w="284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4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применяемых при з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болеваниях органов дыхания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применяемых при з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болеваниях сердечно-сосудистой си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антибиот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263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применяемых при ревматических заболеваниях и осте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порозе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263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Фармакотерапия болевого синдрома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применяющихся при заболеваниях желудочно-кишечного тракта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Лекарственные средства в неврологии и психиатрии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применяющихся при эндокринной патологии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Лекарственные средства в акушерстве и гинекологии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против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опухолевых лекарственных средств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применяющихся при заболеваниях крови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антитро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ботических лекарственных средств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применяющихся в дерматологии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применяющихся в 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ф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тальмологии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лекарс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венных средств, применяющихся в стоматологии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 xml:space="preserve">Клиническая иммунофармакология. </w:t>
            </w:r>
          </w:p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Клиническая фармакология аллергии.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реферат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</w:tcPr>
          <w:p w:rsidR="003E2F04" w:rsidRPr="00985EC1" w:rsidRDefault="003E2F04" w:rsidP="00FA0983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2F04" w:rsidRPr="00985EC1" w:rsidRDefault="003E2F04" w:rsidP="00642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034" w:type="pct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sz w:val="24"/>
                <w:szCs w:val="24"/>
              </w:rPr>
              <w:t>Лекарственные средства в анестезиол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sz w:val="24"/>
                <w:szCs w:val="24"/>
              </w:rPr>
              <w:t>гии и реанимации</w:t>
            </w:r>
          </w:p>
        </w:tc>
        <w:tc>
          <w:tcPr>
            <w:tcW w:w="1665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Подготовка к занятиям, подг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85EC1">
              <w:rPr>
                <w:rFonts w:ascii="Times New Roman" w:hAnsi="Times New Roman"/>
                <w:iCs/>
                <w:sz w:val="24"/>
                <w:szCs w:val="24"/>
              </w:rPr>
              <w:t>товка к текущему контролю, расчетно-графическая работа</w:t>
            </w: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E2F04" w:rsidRPr="00985EC1" w:rsidTr="00263F80">
        <w:trPr>
          <w:trHeight w:val="340"/>
        </w:trPr>
        <w:tc>
          <w:tcPr>
            <w:tcW w:w="284" w:type="pct"/>
            <w:tcBorders>
              <w:right w:val="nil"/>
            </w:tcBorders>
          </w:tcPr>
          <w:p w:rsidR="003E2F04" w:rsidRPr="00985EC1" w:rsidRDefault="003E2F04" w:rsidP="00642A2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34" w:type="pct"/>
            <w:tcBorders>
              <w:left w:val="nil"/>
              <w:right w:val="nil"/>
            </w:tcBorders>
          </w:tcPr>
          <w:p w:rsidR="003E2F04" w:rsidRPr="00985EC1" w:rsidRDefault="003E2F04" w:rsidP="00642A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5" w:type="pct"/>
            <w:tcBorders>
              <w:left w:val="nil"/>
            </w:tcBorders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0" w:type="pct"/>
          </w:tcPr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2F04" w:rsidRPr="00985EC1" w:rsidRDefault="003E2F04" w:rsidP="00642A2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E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500</w:t>
            </w:r>
          </w:p>
        </w:tc>
      </w:tr>
    </w:tbl>
    <w:p w:rsidR="003E2F04" w:rsidRDefault="003E2F04" w:rsidP="00570B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F04" w:rsidRDefault="003E2F04" w:rsidP="00570B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F04" w:rsidRDefault="003E2F04" w:rsidP="00570B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F04" w:rsidRPr="00570B5C" w:rsidRDefault="003E2F04" w:rsidP="00570B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F04" w:rsidRDefault="003E2F04" w:rsidP="00FA0983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Программа дисциплины «Частные вопросы клинической фармакологии» реализуется пр</w:t>
      </w:r>
      <w:r w:rsidRPr="00570B5C">
        <w:rPr>
          <w:rFonts w:ascii="Times New Roman" w:hAnsi="Times New Roman"/>
          <w:sz w:val="24"/>
          <w:szCs w:val="24"/>
        </w:rPr>
        <w:t>е</w:t>
      </w:r>
      <w:r w:rsidRPr="00570B5C">
        <w:rPr>
          <w:rFonts w:ascii="Times New Roman" w:hAnsi="Times New Roman"/>
          <w:sz w:val="24"/>
          <w:szCs w:val="24"/>
        </w:rPr>
        <w:t>имущественно с использованием объяснительно-иллюстративного метода обучения, с элементами программированного и проблемного обучения, а также реализацией модельного метода обучения. При изучении дисциплины  «Частные вопросы клинической фармакологии» используются сл</w:t>
      </w:r>
      <w:r w:rsidRPr="00570B5C">
        <w:rPr>
          <w:rFonts w:ascii="Times New Roman" w:hAnsi="Times New Roman"/>
          <w:sz w:val="24"/>
          <w:szCs w:val="24"/>
        </w:rPr>
        <w:t>е</w:t>
      </w:r>
      <w:r w:rsidRPr="00570B5C">
        <w:rPr>
          <w:rFonts w:ascii="Times New Roman" w:hAnsi="Times New Roman"/>
          <w:sz w:val="24"/>
          <w:szCs w:val="24"/>
        </w:rPr>
        <w:t>дующие формы проведения занятий: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- информационно-коммуникационные (лекция-презентация; доклад-презентация);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- групповая дискуссия;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- деловая игра;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- ситуация-кейс и др.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 xml:space="preserve">От общего объема аудиторных занятий 10 % представлено в интерактивных формах. 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Технология работы с кейсом включает следующие этапы: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1) индивидуальная самостоятельная работы ординаторов с материалами кейса (идентиф</w:t>
      </w:r>
      <w:r w:rsidRPr="00570B5C">
        <w:rPr>
          <w:rFonts w:ascii="Times New Roman" w:hAnsi="Times New Roman"/>
          <w:sz w:val="24"/>
          <w:szCs w:val="24"/>
        </w:rPr>
        <w:t>и</w:t>
      </w:r>
      <w:r w:rsidRPr="00570B5C">
        <w:rPr>
          <w:rFonts w:ascii="Times New Roman" w:hAnsi="Times New Roman"/>
          <w:sz w:val="24"/>
          <w:szCs w:val="24"/>
        </w:rPr>
        <w:t>кация проблемы, формулирование альтернатив, предложение решения или рекомендуемого дейс</w:t>
      </w:r>
      <w:r w:rsidRPr="00570B5C">
        <w:rPr>
          <w:rFonts w:ascii="Times New Roman" w:hAnsi="Times New Roman"/>
          <w:sz w:val="24"/>
          <w:szCs w:val="24"/>
        </w:rPr>
        <w:t>т</w:t>
      </w:r>
      <w:r w:rsidRPr="00570B5C">
        <w:rPr>
          <w:rFonts w:ascii="Times New Roman" w:hAnsi="Times New Roman"/>
          <w:sz w:val="24"/>
          <w:szCs w:val="24"/>
        </w:rPr>
        <w:t>вия);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2) работа в группах (2-3 ординатора) по постановке проблемы и поиску ее решения;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3) презентация и экспертиза результатов рабочих групп  на общей дискуссии (в рамках учебной группы).</w:t>
      </w:r>
    </w:p>
    <w:p w:rsidR="003E2F04" w:rsidRPr="00570B5C" w:rsidRDefault="003E2F04" w:rsidP="00570B5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70B5C">
        <w:rPr>
          <w:rFonts w:ascii="Times New Roman" w:hAnsi="Times New Roman"/>
          <w:sz w:val="24"/>
          <w:szCs w:val="24"/>
        </w:rPr>
        <w:t>Цель использования кейс метода: повысить мотивацию ординаторов в изучении дисципл</w:t>
      </w:r>
      <w:r w:rsidRPr="00570B5C">
        <w:rPr>
          <w:rFonts w:ascii="Times New Roman" w:hAnsi="Times New Roman"/>
          <w:sz w:val="24"/>
          <w:szCs w:val="24"/>
        </w:rPr>
        <w:t>и</w:t>
      </w:r>
      <w:r w:rsidRPr="00570B5C">
        <w:rPr>
          <w:rFonts w:ascii="Times New Roman" w:hAnsi="Times New Roman"/>
          <w:sz w:val="24"/>
          <w:szCs w:val="24"/>
        </w:rPr>
        <w:t>ны (вовлечение в процесс разбора конкретной ситуации), активное усвоение знаний и навыков сбора, обработки и анализа информации, характеризующей различные ситуации.</w:t>
      </w:r>
    </w:p>
    <w:p w:rsidR="003E2F04" w:rsidRPr="00570B5C" w:rsidRDefault="003E2F04" w:rsidP="00570B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F04" w:rsidRPr="0065155A" w:rsidRDefault="003E2F04" w:rsidP="00561E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1ECA">
        <w:rPr>
          <w:rFonts w:ascii="Times New Roman" w:hAnsi="Times New Roman"/>
          <w:b/>
          <w:bCs/>
          <w:sz w:val="24"/>
          <w:szCs w:val="24"/>
        </w:rPr>
        <w:t>Перечень</w:t>
      </w:r>
      <w:r w:rsidRPr="004C1FF1">
        <w:rPr>
          <w:rFonts w:ascii="Times New Roman" w:hAnsi="Times New Roman"/>
          <w:b/>
          <w:bCs/>
          <w:sz w:val="24"/>
          <w:szCs w:val="24"/>
        </w:rPr>
        <w:t xml:space="preserve"> оценочных средств</w:t>
      </w:r>
    </w:p>
    <w:p w:rsidR="003E2F04" w:rsidRDefault="003E2F0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Реферат</w:t>
      </w:r>
    </w:p>
    <w:p w:rsidR="003E2F04" w:rsidRDefault="003E2F0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6D2BBE">
        <w:rPr>
          <w:rFonts w:ascii="Times New Roman" w:hAnsi="Times New Roman"/>
          <w:sz w:val="24"/>
          <w:szCs w:val="24"/>
        </w:rPr>
        <w:t>Доклад,сообщение</w:t>
      </w:r>
    </w:p>
    <w:p w:rsidR="003E2F04" w:rsidRDefault="003E2F0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Сообщение</w:t>
      </w:r>
    </w:p>
    <w:p w:rsidR="003E2F04" w:rsidRDefault="003E2F0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Собеседование</w:t>
      </w:r>
    </w:p>
    <w:p w:rsidR="003E2F04" w:rsidRDefault="003E2F04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802ABD">
        <w:rPr>
          <w:rFonts w:ascii="Times New Roman" w:hAnsi="Times New Roman"/>
          <w:bCs/>
          <w:sz w:val="24"/>
          <w:szCs w:val="24"/>
        </w:rPr>
        <w:t>Тест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3E2F04" w:rsidRPr="0036044C" w:rsidRDefault="003E2F04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2F04" w:rsidRDefault="003E2F04" w:rsidP="00FA09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3E2F04" w:rsidRDefault="003E2F04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3E2F04" w:rsidRDefault="003E2F04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F04" w:rsidRPr="004C1FF1" w:rsidRDefault="003E2F04" w:rsidP="00FA09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FF1">
        <w:rPr>
          <w:rFonts w:ascii="Times New Roman" w:hAnsi="Times New Roman"/>
          <w:b/>
          <w:bCs/>
          <w:sz w:val="24"/>
          <w:szCs w:val="24"/>
        </w:rPr>
        <w:t xml:space="preserve">Составители: </w:t>
      </w:r>
      <w:r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3E2F04" w:rsidRPr="004C1FF1" w:rsidSect="007A134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04" w:rsidRDefault="003E2F04" w:rsidP="003125CC">
      <w:pPr>
        <w:spacing w:after="0" w:line="240" w:lineRule="auto"/>
      </w:pPr>
      <w:r>
        <w:separator/>
      </w:r>
    </w:p>
  </w:endnote>
  <w:endnote w:type="continuationSeparator" w:id="1">
    <w:p w:rsidR="003E2F04" w:rsidRDefault="003E2F04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04" w:rsidRDefault="003E2F04" w:rsidP="003125CC">
      <w:pPr>
        <w:spacing w:after="0" w:line="240" w:lineRule="auto"/>
      </w:pPr>
      <w:r>
        <w:separator/>
      </w:r>
    </w:p>
  </w:footnote>
  <w:footnote w:type="continuationSeparator" w:id="1">
    <w:p w:rsidR="003E2F04" w:rsidRDefault="003E2F04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04" w:rsidRDefault="003E2F04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F04" w:rsidRDefault="003E2F04" w:rsidP="004257A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04" w:rsidRDefault="003E2F04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E2F04" w:rsidRDefault="003E2F04" w:rsidP="004257A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04" w:rsidRDefault="003E2F0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5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D0E45"/>
    <w:multiLevelType w:val="hybridMultilevel"/>
    <w:tmpl w:val="3014E19C"/>
    <w:lvl w:ilvl="0" w:tplc="BF80175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32733"/>
    <w:rsid w:val="00042A1E"/>
    <w:rsid w:val="00074E82"/>
    <w:rsid w:val="00115FF6"/>
    <w:rsid w:val="00134766"/>
    <w:rsid w:val="00164507"/>
    <w:rsid w:val="00184652"/>
    <w:rsid w:val="001955D1"/>
    <w:rsid w:val="001B53DF"/>
    <w:rsid w:val="001C3CFB"/>
    <w:rsid w:val="00263F80"/>
    <w:rsid w:val="00271BD4"/>
    <w:rsid w:val="002D6BB0"/>
    <w:rsid w:val="002F7F20"/>
    <w:rsid w:val="003106A1"/>
    <w:rsid w:val="003125CC"/>
    <w:rsid w:val="003527A3"/>
    <w:rsid w:val="0036044C"/>
    <w:rsid w:val="00393621"/>
    <w:rsid w:val="003B0614"/>
    <w:rsid w:val="003D4105"/>
    <w:rsid w:val="003E2F04"/>
    <w:rsid w:val="004257A4"/>
    <w:rsid w:val="00431FA4"/>
    <w:rsid w:val="004C1DDB"/>
    <w:rsid w:val="004C1FF1"/>
    <w:rsid w:val="004C453D"/>
    <w:rsid w:val="004E519B"/>
    <w:rsid w:val="0054045E"/>
    <w:rsid w:val="00541BD5"/>
    <w:rsid w:val="00560D99"/>
    <w:rsid w:val="00561ECA"/>
    <w:rsid w:val="00570B5C"/>
    <w:rsid w:val="00577287"/>
    <w:rsid w:val="005D4356"/>
    <w:rsid w:val="005E1EEE"/>
    <w:rsid w:val="0060533E"/>
    <w:rsid w:val="006077AC"/>
    <w:rsid w:val="006259FC"/>
    <w:rsid w:val="00633BB4"/>
    <w:rsid w:val="00642A27"/>
    <w:rsid w:val="0064531F"/>
    <w:rsid w:val="00646842"/>
    <w:rsid w:val="0065155A"/>
    <w:rsid w:val="006C30E4"/>
    <w:rsid w:val="006D2BBE"/>
    <w:rsid w:val="00725027"/>
    <w:rsid w:val="007504EA"/>
    <w:rsid w:val="0076281D"/>
    <w:rsid w:val="007A134F"/>
    <w:rsid w:val="007B79A7"/>
    <w:rsid w:val="007C5D97"/>
    <w:rsid w:val="007C6B50"/>
    <w:rsid w:val="007E1F3E"/>
    <w:rsid w:val="00802ABD"/>
    <w:rsid w:val="0084020A"/>
    <w:rsid w:val="00843D9C"/>
    <w:rsid w:val="00882589"/>
    <w:rsid w:val="00913503"/>
    <w:rsid w:val="00926D82"/>
    <w:rsid w:val="009556D9"/>
    <w:rsid w:val="00972F1B"/>
    <w:rsid w:val="00985EC1"/>
    <w:rsid w:val="00995A93"/>
    <w:rsid w:val="009A42AF"/>
    <w:rsid w:val="009B2962"/>
    <w:rsid w:val="009D506E"/>
    <w:rsid w:val="009D5842"/>
    <w:rsid w:val="009D5F79"/>
    <w:rsid w:val="009F6706"/>
    <w:rsid w:val="00A02601"/>
    <w:rsid w:val="00A06740"/>
    <w:rsid w:val="00A41E50"/>
    <w:rsid w:val="00A6465B"/>
    <w:rsid w:val="00A65331"/>
    <w:rsid w:val="00A80953"/>
    <w:rsid w:val="00A90E98"/>
    <w:rsid w:val="00A93F68"/>
    <w:rsid w:val="00B45BFB"/>
    <w:rsid w:val="00B5180C"/>
    <w:rsid w:val="00B656AA"/>
    <w:rsid w:val="00B8308A"/>
    <w:rsid w:val="00BA5789"/>
    <w:rsid w:val="00BE248A"/>
    <w:rsid w:val="00BF3F35"/>
    <w:rsid w:val="00C30350"/>
    <w:rsid w:val="00C57E98"/>
    <w:rsid w:val="00C60055"/>
    <w:rsid w:val="00C669DA"/>
    <w:rsid w:val="00CD1554"/>
    <w:rsid w:val="00CF2AC6"/>
    <w:rsid w:val="00D01AE2"/>
    <w:rsid w:val="00D443DB"/>
    <w:rsid w:val="00E543BE"/>
    <w:rsid w:val="00E87F18"/>
    <w:rsid w:val="00F10606"/>
    <w:rsid w:val="00F17E1C"/>
    <w:rsid w:val="00F21303"/>
    <w:rsid w:val="00F26FB0"/>
    <w:rsid w:val="00F43061"/>
    <w:rsid w:val="00F64FB0"/>
    <w:rsid w:val="00F67B26"/>
    <w:rsid w:val="00F73011"/>
    <w:rsid w:val="00F81A81"/>
    <w:rsid w:val="00F8398B"/>
    <w:rsid w:val="00FA0983"/>
    <w:rsid w:val="00FA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257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10</Pages>
  <Words>3844</Words>
  <Characters>21916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19</cp:revision>
  <dcterms:created xsi:type="dcterms:W3CDTF">2018-09-08T18:57:00Z</dcterms:created>
  <dcterms:modified xsi:type="dcterms:W3CDTF">2018-09-10T10:16:00Z</dcterms:modified>
</cp:coreProperties>
</file>