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B97">
        <w:rPr>
          <w:rFonts w:ascii="Times New Roman" w:hAnsi="Times New Roman" w:cs="Times New Roman"/>
          <w:b/>
          <w:bCs/>
          <w:sz w:val="24"/>
          <w:szCs w:val="24"/>
        </w:rPr>
        <w:t>Травматология и ортопедия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1A5B97">
        <w:rPr>
          <w:rFonts w:ascii="Times New Roman" w:hAnsi="Times New Roman"/>
          <w:bCs/>
          <w:sz w:val="24"/>
          <w:szCs w:val="24"/>
        </w:rPr>
        <w:t>31.08.48</w:t>
      </w:r>
      <w:r w:rsidR="0055417B">
        <w:rPr>
          <w:rFonts w:ascii="Times New Roman" w:hAnsi="Times New Roman"/>
          <w:bCs/>
          <w:sz w:val="24"/>
          <w:szCs w:val="24"/>
        </w:rPr>
        <w:t xml:space="preserve">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1A5B97">
        <w:rPr>
          <w:rFonts w:ascii="Times New Roman" w:hAnsi="Times New Roman"/>
          <w:bCs/>
          <w:sz w:val="24"/>
          <w:szCs w:val="24"/>
        </w:rPr>
        <w:t>Скорая медицинская помощь</w:t>
      </w:r>
    </w:p>
    <w:p w:rsidR="007A50D6" w:rsidRPr="00720626" w:rsidRDefault="007A50D6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50D6" w:rsidRPr="00392853" w:rsidRDefault="004C1FF1" w:rsidP="007A50D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0626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720626">
        <w:rPr>
          <w:rFonts w:ascii="Times New Roman" w:hAnsi="Times New Roman"/>
          <w:b/>
          <w:sz w:val="24"/>
          <w:szCs w:val="24"/>
        </w:rPr>
        <w:t>Цель дисциплины</w:t>
      </w:r>
      <w:r w:rsidR="0055417B" w:rsidRPr="0072062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720626">
        <w:rPr>
          <w:rFonts w:ascii="Times New Roman" w:hAnsi="Times New Roman"/>
          <w:b/>
          <w:sz w:val="24"/>
          <w:szCs w:val="24"/>
        </w:rPr>
        <w:t>«</w:t>
      </w:r>
      <w:r w:rsidR="00E70A45">
        <w:rPr>
          <w:rFonts w:ascii="Times New Roman" w:hAnsi="Times New Roman"/>
          <w:b/>
          <w:bCs/>
          <w:sz w:val="24"/>
          <w:szCs w:val="24"/>
        </w:rPr>
        <w:t>Травматология и ортопедия</w:t>
      </w:r>
      <w:r w:rsidR="00134766" w:rsidRPr="00720626">
        <w:rPr>
          <w:rFonts w:ascii="Times New Roman" w:hAnsi="Times New Roman"/>
          <w:b/>
          <w:sz w:val="24"/>
          <w:szCs w:val="24"/>
        </w:rPr>
        <w:t>»</w:t>
      </w:r>
      <w:r w:rsidR="007E1F3E" w:rsidRPr="00720626">
        <w:rPr>
          <w:rFonts w:ascii="Times New Roman" w:hAnsi="Times New Roman"/>
          <w:sz w:val="24"/>
          <w:szCs w:val="24"/>
        </w:rPr>
        <w:t>:</w:t>
      </w:r>
      <w:r w:rsidR="0055417B" w:rsidRPr="00720626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392853" w:rsidRPr="00392853">
        <w:rPr>
          <w:rFonts w:ascii="Times New Roman" w:hAnsi="Times New Roman"/>
          <w:color w:val="000000"/>
          <w:spacing w:val="-1"/>
          <w:sz w:val="24"/>
          <w:szCs w:val="24"/>
        </w:rPr>
        <w:t>повышение уровня профе</w:t>
      </w:r>
      <w:r w:rsidR="00392853" w:rsidRPr="00392853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392853" w:rsidRPr="00392853">
        <w:rPr>
          <w:rFonts w:ascii="Times New Roman" w:hAnsi="Times New Roman"/>
          <w:color w:val="000000"/>
          <w:spacing w:val="-1"/>
          <w:sz w:val="24"/>
          <w:szCs w:val="24"/>
        </w:rPr>
        <w:t xml:space="preserve">сиональных знаний клинических ординаторов в вопросах оказания помощи при травмах различного генеза и при ортопедических заболеваниях.  </w:t>
      </w:r>
      <w:r w:rsidR="00720626" w:rsidRPr="00392853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720626" w:rsidRPr="00392853">
        <w:rPr>
          <w:rFonts w:ascii="Times New Roman" w:hAnsi="Times New Roman"/>
          <w:sz w:val="24"/>
          <w:szCs w:val="24"/>
        </w:rPr>
        <w:t xml:space="preserve"> 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 w:cs="Times New Roman"/>
          <w:b/>
          <w:sz w:val="24"/>
          <w:szCs w:val="24"/>
        </w:rPr>
        <w:t>2. Перечень планируемых</w:t>
      </w:r>
      <w:r w:rsidRPr="00F17E1C">
        <w:rPr>
          <w:rFonts w:ascii="Times New Roman" w:hAnsi="Times New Roman"/>
          <w:b/>
          <w:sz w:val="24"/>
          <w:szCs w:val="24"/>
        </w:rPr>
        <w:t xml:space="preserve">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1A5B97">
        <w:rPr>
          <w:rFonts w:ascii="Times New Roman" w:hAnsi="Times New Roman" w:cs="Times New Roman"/>
          <w:b/>
          <w:bCs/>
          <w:sz w:val="24"/>
          <w:szCs w:val="24"/>
        </w:rPr>
        <w:t>Травматол</w:t>
      </w:r>
      <w:r w:rsidR="001A5B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A5B97">
        <w:rPr>
          <w:rFonts w:ascii="Times New Roman" w:hAnsi="Times New Roman" w:cs="Times New Roman"/>
          <w:b/>
          <w:bCs/>
          <w:sz w:val="24"/>
          <w:szCs w:val="24"/>
        </w:rPr>
        <w:t>гия и ортопедия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="00134766" w:rsidRPr="001A5B97">
        <w:rPr>
          <w:rFonts w:ascii="Times New Roman" w:hAnsi="Times New Roman"/>
          <w:sz w:val="24"/>
          <w:szCs w:val="24"/>
        </w:rPr>
        <w:t>«</w:t>
      </w:r>
      <w:r w:rsidR="001A5B97" w:rsidRPr="001A5B97">
        <w:rPr>
          <w:rFonts w:ascii="Times New Roman" w:hAnsi="Times New Roman" w:cs="Times New Roman"/>
          <w:bCs/>
          <w:sz w:val="24"/>
          <w:szCs w:val="24"/>
        </w:rPr>
        <w:t>Травматология и ортопедия</w:t>
      </w:r>
      <w:r w:rsidR="00134766" w:rsidRPr="001A5B97">
        <w:rPr>
          <w:rFonts w:ascii="Times New Roman" w:hAnsi="Times New Roman"/>
          <w:sz w:val="24"/>
          <w:szCs w:val="24"/>
        </w:rPr>
        <w:t>»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</w:t>
      </w:r>
      <w:r w:rsidRPr="00A02601">
        <w:rPr>
          <w:rFonts w:ascii="Times New Roman" w:hAnsi="Times New Roman"/>
          <w:sz w:val="24"/>
          <w:szCs w:val="24"/>
        </w:rPr>
        <w:t>и</w:t>
      </w:r>
      <w:r w:rsidRPr="00A02601">
        <w:rPr>
          <w:rFonts w:ascii="Times New Roman" w:hAnsi="Times New Roman"/>
          <w:sz w:val="24"/>
          <w:szCs w:val="24"/>
        </w:rPr>
        <w:t>рование следующих компетенций:</w:t>
      </w:r>
    </w:p>
    <w:p w:rsidR="007E1F3E" w:rsidRPr="007A50D6" w:rsidRDefault="005E105F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7A50D6">
        <w:rPr>
          <w:rFonts w:ascii="Times New Roman" w:hAnsi="Times New Roman"/>
          <w:b/>
          <w:sz w:val="24"/>
          <w:szCs w:val="24"/>
        </w:rPr>
        <w:t xml:space="preserve"> (</w:t>
      </w:r>
      <w:r w:rsidRPr="007A50D6">
        <w:rPr>
          <w:rFonts w:ascii="Times New Roman" w:hAnsi="Times New Roman"/>
          <w:b/>
          <w:sz w:val="24"/>
          <w:szCs w:val="24"/>
        </w:rPr>
        <w:t>У</w:t>
      </w:r>
      <w:r w:rsidR="007E1F3E" w:rsidRPr="007A50D6">
        <w:rPr>
          <w:rFonts w:ascii="Times New Roman" w:hAnsi="Times New Roman"/>
          <w:b/>
          <w:sz w:val="24"/>
          <w:szCs w:val="24"/>
        </w:rPr>
        <w:t>К)</w:t>
      </w:r>
      <w:r w:rsidR="007E1F3E" w:rsidRPr="007A50D6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УК</w:t>
      </w:r>
      <w:r w:rsidR="007E1F3E" w:rsidRPr="00A02601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1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 w:rsidRPr="00EF4F86">
        <w:rPr>
          <w:sz w:val="22"/>
          <w:szCs w:val="22"/>
        </w:rPr>
        <w:t>готовность к абстрактному мышлению, анализу, синтезу</w:t>
      </w:r>
      <w:r>
        <w:rPr>
          <w:sz w:val="22"/>
          <w:szCs w:val="22"/>
        </w:rPr>
        <w:t>;</w:t>
      </w:r>
    </w:p>
    <w:p w:rsidR="005E105F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bidi="ru-RU"/>
        </w:rPr>
        <w:t>УК-2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управлению коллективом, толерантно воспринимать социальные, э</w:t>
      </w:r>
      <w:r w:rsidRPr="0073200F">
        <w:rPr>
          <w:sz w:val="22"/>
          <w:szCs w:val="22"/>
        </w:rPr>
        <w:t>т</w:t>
      </w:r>
      <w:r w:rsidRPr="0073200F">
        <w:rPr>
          <w:sz w:val="22"/>
          <w:szCs w:val="22"/>
        </w:rPr>
        <w:t>нические, конфессиональные и культурные различия</w:t>
      </w:r>
      <w:r>
        <w:rPr>
          <w:sz w:val="22"/>
          <w:szCs w:val="22"/>
        </w:rPr>
        <w:t>;</w:t>
      </w:r>
    </w:p>
    <w:p w:rsidR="007E1F3E" w:rsidRPr="007A50D6" w:rsidRDefault="007E1F3E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A50D6">
        <w:rPr>
          <w:rFonts w:ascii="Times New Roman" w:hAnsi="Times New Roman"/>
          <w:sz w:val="24"/>
          <w:szCs w:val="24"/>
        </w:rPr>
        <w:t>:</w:t>
      </w:r>
    </w:p>
    <w:p w:rsidR="007E1F3E" w:rsidRPr="005E105F" w:rsidRDefault="005E105F" w:rsidP="004A3247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117103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103">
        <w:rPr>
          <w:rFonts w:ascii="Times New Roman" w:hAnsi="Times New Roman"/>
          <w:b/>
          <w:sz w:val="24"/>
          <w:szCs w:val="24"/>
        </w:rPr>
        <w:t>3. В результате освоения дисциплины «</w:t>
      </w:r>
      <w:r w:rsidR="001A5B97">
        <w:rPr>
          <w:rFonts w:ascii="Times New Roman" w:hAnsi="Times New Roman" w:cs="Times New Roman"/>
          <w:b/>
          <w:bCs/>
          <w:sz w:val="24"/>
          <w:szCs w:val="24"/>
        </w:rPr>
        <w:t>Травматология и ортопедия</w:t>
      </w:r>
      <w:r w:rsidRPr="00117103">
        <w:rPr>
          <w:rFonts w:ascii="Times New Roman" w:hAnsi="Times New Roman"/>
          <w:b/>
          <w:sz w:val="24"/>
          <w:szCs w:val="24"/>
        </w:rPr>
        <w:t xml:space="preserve">» </w:t>
      </w:r>
      <w:r w:rsidR="005E105F" w:rsidRPr="00117103">
        <w:rPr>
          <w:rFonts w:ascii="Times New Roman" w:hAnsi="Times New Roman"/>
          <w:b/>
          <w:sz w:val="24"/>
          <w:szCs w:val="24"/>
        </w:rPr>
        <w:t>клинич</w:t>
      </w:r>
      <w:r w:rsidR="005E105F" w:rsidRPr="00117103">
        <w:rPr>
          <w:rFonts w:ascii="Times New Roman" w:hAnsi="Times New Roman"/>
          <w:b/>
          <w:sz w:val="24"/>
          <w:szCs w:val="24"/>
        </w:rPr>
        <w:t>е</w:t>
      </w:r>
      <w:r w:rsidR="005E105F" w:rsidRPr="00117103">
        <w:rPr>
          <w:rFonts w:ascii="Times New Roman" w:hAnsi="Times New Roman"/>
          <w:b/>
          <w:sz w:val="24"/>
          <w:szCs w:val="24"/>
        </w:rPr>
        <w:t xml:space="preserve">ский ординатор </w:t>
      </w:r>
      <w:r w:rsidRPr="00117103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17103" w:rsidRPr="00D579B9" w:rsidRDefault="007E1F3E" w:rsidP="00D579B9">
      <w:pPr>
        <w:widowControl w:val="0"/>
        <w:tabs>
          <w:tab w:val="left" w:pos="176"/>
        </w:tabs>
        <w:spacing w:after="0" w:line="240" w:lineRule="auto"/>
        <w:ind w:left="34" w:right="-108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социально-значимые проблемы и процессы;</w:t>
      </w:r>
    </w:p>
    <w:p w:rsidR="001A5B97" w:rsidRDefault="007E1F3E" w:rsidP="001A5B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методы управления,  правила врачебной этики, законы и нормативные правовые акты в сфере деятельности;</w:t>
      </w: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A5B97" w:rsidRPr="001A5B97" w:rsidRDefault="007E1F3E" w:rsidP="001A5B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A5B97" w:rsidRPr="00E22B49">
        <w:rPr>
          <w:rFonts w:ascii="Times New Roman" w:hAnsi="Times New Roman"/>
        </w:rPr>
        <w:t>жизнеугрожающие последствия травм, их диагностику;</w:t>
      </w:r>
    </w:p>
    <w:p w:rsidR="001A5B97" w:rsidRPr="00E22B49" w:rsidRDefault="004A3247" w:rsidP="001A5B97">
      <w:pPr>
        <w:pStyle w:val="a8"/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</w:t>
      </w:r>
      <w:r w:rsidR="001A5B97" w:rsidRPr="00E22B49">
        <w:rPr>
          <w:rFonts w:ascii="Times New Roman" w:hAnsi="Times New Roman"/>
        </w:rPr>
        <w:t>организацию, объем и содержание медицинской помощи пострадавшим с сочетанными повреждениями на догоспитальном этапе и в травмацентрах различного уровня;</w:t>
      </w:r>
    </w:p>
    <w:p w:rsidR="00720626" w:rsidRPr="00720626" w:rsidRDefault="00720626" w:rsidP="001A5B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терминологию, методы обследования позвоночника; </w:t>
      </w:r>
    </w:p>
    <w:p w:rsidR="001A5B97" w:rsidRPr="00E22B49" w:rsidRDefault="004A3247" w:rsidP="001A5B97">
      <w:pPr>
        <w:pStyle w:val="a8"/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</w:rPr>
      </w:pPr>
      <w:r w:rsidRPr="0072062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</w:t>
      </w:r>
      <w:r w:rsidR="001A5B97" w:rsidRPr="00E22B49">
        <w:rPr>
          <w:rFonts w:ascii="Times New Roman" w:hAnsi="Times New Roman"/>
        </w:rPr>
        <w:t>диагностику и лечение деструктивно-дистрофических заболеваний суставов, сколиот</w:t>
      </w:r>
      <w:r w:rsidR="001A5B97" w:rsidRPr="00E22B49">
        <w:rPr>
          <w:rFonts w:ascii="Times New Roman" w:hAnsi="Times New Roman"/>
        </w:rPr>
        <w:t>и</w:t>
      </w:r>
      <w:r w:rsidR="001A5B97" w:rsidRPr="00E22B49">
        <w:rPr>
          <w:rFonts w:ascii="Times New Roman" w:hAnsi="Times New Roman"/>
        </w:rPr>
        <w:t>ческой болезни;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A5B97" w:rsidRPr="001A5B97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 xml:space="preserve">использовать на практике методы гуманитарных, естественнонаучных, медико-биологических и клинических наук в </w:t>
      </w:r>
      <w:r w:rsidR="001A5B97" w:rsidRPr="001A5B97">
        <w:rPr>
          <w:rFonts w:ascii="Times New Roman" w:hAnsi="Times New Roman" w:cs="Times New Roman"/>
          <w:sz w:val="24"/>
          <w:szCs w:val="24"/>
        </w:rPr>
        <w:t>различных видах своей профессиональной деятел</w:t>
      </w:r>
      <w:r w:rsidR="001A5B97" w:rsidRPr="001A5B97">
        <w:rPr>
          <w:rFonts w:ascii="Times New Roman" w:hAnsi="Times New Roman" w:cs="Times New Roman"/>
          <w:sz w:val="24"/>
          <w:szCs w:val="24"/>
        </w:rPr>
        <w:t>ь</w:t>
      </w:r>
      <w:r w:rsidR="001A5B97" w:rsidRPr="001A5B97">
        <w:rPr>
          <w:rFonts w:ascii="Times New Roman" w:hAnsi="Times New Roman" w:cs="Times New Roman"/>
          <w:sz w:val="24"/>
          <w:szCs w:val="24"/>
        </w:rPr>
        <w:t>ности;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управления, организовывать работу исполнителей, нах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D3189C" w:rsidRPr="00D579B9" w:rsidRDefault="00D3189C" w:rsidP="00D579B9">
      <w:pPr>
        <w:tabs>
          <w:tab w:val="left" w:pos="175"/>
          <w:tab w:val="left" w:pos="993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1A5B97" w:rsidRPr="00E22B49">
        <w:rPr>
          <w:rFonts w:ascii="Times New Roman" w:hAnsi="Times New Roman"/>
        </w:rPr>
        <w:t>использовать методы диагностики повреждения различных анатомических областей т</w:t>
      </w:r>
      <w:r w:rsidR="001A5B97" w:rsidRPr="00E22B49">
        <w:rPr>
          <w:rFonts w:ascii="Times New Roman" w:hAnsi="Times New Roman"/>
        </w:rPr>
        <w:t>е</w:t>
      </w:r>
      <w:r w:rsidR="001A5B97" w:rsidRPr="00E22B49">
        <w:rPr>
          <w:rFonts w:ascii="Times New Roman" w:hAnsi="Times New Roman"/>
        </w:rPr>
        <w:t>ла, ортопедических заболеваний</w:t>
      </w:r>
      <w:r w:rsidRPr="00D579B9">
        <w:rPr>
          <w:rFonts w:ascii="Times New Roman" w:hAnsi="Times New Roman" w:cs="Times New Roman"/>
          <w:sz w:val="24"/>
          <w:szCs w:val="24"/>
        </w:rPr>
        <w:t>;</w:t>
      </w:r>
    </w:p>
    <w:p w:rsidR="001A5B97" w:rsidRPr="00E22B49" w:rsidRDefault="00D3189C" w:rsidP="001A5B97">
      <w:pPr>
        <w:pStyle w:val="a8"/>
        <w:tabs>
          <w:tab w:val="left" w:pos="317"/>
        </w:tabs>
        <w:spacing w:after="0" w:line="240" w:lineRule="auto"/>
        <w:ind w:left="34" w:firstLine="675"/>
        <w:rPr>
          <w:rFonts w:ascii="Times New Roman" w:hAnsi="Times New Roman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1A5B97" w:rsidRPr="00E22B49">
        <w:rPr>
          <w:rFonts w:ascii="Times New Roman" w:hAnsi="Times New Roman"/>
        </w:rPr>
        <w:t>оказывать неотложную помощь при травмах различной лока</w:t>
      </w:r>
      <w:r w:rsidR="001A5B97">
        <w:rPr>
          <w:rFonts w:ascii="Times New Roman" w:hAnsi="Times New Roman"/>
        </w:rPr>
        <w:t>лизации;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7176B" w:rsidRPr="00D579B9" w:rsidRDefault="00F7176B" w:rsidP="00D579B9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логическим и аргументированным анализом, публичной речью, ведением диску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сии и полемики;</w:t>
      </w:r>
    </w:p>
    <w:p w:rsidR="00D3189C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вые знания, использовать различные формы обучения, информационно образовательные технологии;</w:t>
      </w:r>
    </w:p>
    <w:p w:rsidR="00F7176B" w:rsidRDefault="00F7176B" w:rsidP="00D579B9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к осуществлению воспитательной деятельности, сотрудничеству и разрешению конфликтов, к толерантности;</w:t>
      </w:r>
    </w:p>
    <w:p w:rsidR="001A5B97" w:rsidRPr="001A5B97" w:rsidRDefault="000701E8" w:rsidP="001A5B97">
      <w:pPr>
        <w:pStyle w:val="a8"/>
        <w:tabs>
          <w:tab w:val="left" w:pos="2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1A5B97" w:rsidRPr="00E22B49">
        <w:rPr>
          <w:rFonts w:ascii="Times New Roman" w:hAnsi="Times New Roman"/>
        </w:rPr>
        <w:t>приемами и методами диагностики сочетанных повреждений, направленных на выявл</w:t>
      </w:r>
      <w:r w:rsidR="001A5B97" w:rsidRPr="00E22B49">
        <w:rPr>
          <w:rFonts w:ascii="Times New Roman" w:hAnsi="Times New Roman"/>
        </w:rPr>
        <w:t>е</w:t>
      </w:r>
      <w:r w:rsidR="001A5B97" w:rsidRPr="00E22B49">
        <w:rPr>
          <w:rFonts w:ascii="Times New Roman" w:hAnsi="Times New Roman"/>
        </w:rPr>
        <w:t xml:space="preserve">ние </w:t>
      </w:r>
      <w:r w:rsidR="001A5B97" w:rsidRPr="001A5B97">
        <w:rPr>
          <w:rFonts w:ascii="Times New Roman" w:hAnsi="Times New Roman" w:cs="Times New Roman"/>
          <w:sz w:val="24"/>
          <w:szCs w:val="24"/>
        </w:rPr>
        <w:t>жизнеугрожающих последствий травмы;</w:t>
      </w:r>
    </w:p>
    <w:p w:rsidR="001A5B97" w:rsidRPr="001A5B97" w:rsidRDefault="001A5B97" w:rsidP="001A5B97">
      <w:pPr>
        <w:pStyle w:val="a8"/>
        <w:tabs>
          <w:tab w:val="left" w:pos="2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5B97">
        <w:rPr>
          <w:rFonts w:ascii="Times New Roman" w:hAnsi="Times New Roman" w:cs="Times New Roman"/>
          <w:sz w:val="24"/>
          <w:szCs w:val="24"/>
        </w:rPr>
        <w:t>-  приемами оказания неотложной помощи пострадавшим с травмой;</w:t>
      </w:r>
    </w:p>
    <w:p w:rsidR="004A3247" w:rsidRPr="001A5B97" w:rsidRDefault="001A5B97" w:rsidP="001A5B97">
      <w:pPr>
        <w:pStyle w:val="a8"/>
        <w:tabs>
          <w:tab w:val="left" w:pos="2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5B97">
        <w:rPr>
          <w:rFonts w:ascii="Times New Roman" w:hAnsi="Times New Roman" w:cs="Times New Roman"/>
          <w:sz w:val="24"/>
          <w:szCs w:val="24"/>
        </w:rPr>
        <w:t>-  методами диагностики в травматологии и ортопедии.</w:t>
      </w:r>
    </w:p>
    <w:p w:rsidR="006077AC" w:rsidRPr="00F8398B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учебной дисциплины </w:t>
      </w:r>
      <w:r w:rsidRPr="001A5B97">
        <w:rPr>
          <w:rFonts w:cs="Times New Roman"/>
          <w:color w:val="000000"/>
          <w:sz w:val="24"/>
          <w:szCs w:val="24"/>
          <w:lang w:bidi="ru-RU"/>
        </w:rPr>
        <w:t>«</w:t>
      </w:r>
      <w:r w:rsidR="001A5B97" w:rsidRPr="001A5B97">
        <w:rPr>
          <w:rFonts w:cs="Times New Roman"/>
          <w:bCs w:val="0"/>
          <w:sz w:val="24"/>
          <w:szCs w:val="24"/>
        </w:rPr>
        <w:t>Травматология и ортопедия</w:t>
      </w:r>
      <w:r w:rsidRPr="001A5B97">
        <w:rPr>
          <w:rFonts w:cs="Times New Roman"/>
          <w:color w:val="000000"/>
          <w:sz w:val="24"/>
          <w:szCs w:val="24"/>
          <w:lang w:bidi="ru-RU"/>
        </w:rPr>
        <w:t>»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в структуре ООП университета</w:t>
      </w:r>
    </w:p>
    <w:p w:rsid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0701E8">
        <w:rPr>
          <w:b w:val="0"/>
        </w:rPr>
        <w:t>Учебная дисциплина  «</w:t>
      </w:r>
      <w:r w:rsidR="001A5B97">
        <w:rPr>
          <w:rFonts w:cs="Times New Roman"/>
          <w:b w:val="0"/>
          <w:bCs w:val="0"/>
          <w:sz w:val="24"/>
          <w:szCs w:val="24"/>
        </w:rPr>
        <w:t>Травматология и ортопедия</w:t>
      </w:r>
      <w:r w:rsidRPr="000701E8">
        <w:rPr>
          <w:b w:val="0"/>
        </w:rPr>
        <w:t>»  по специальности  «</w:t>
      </w:r>
      <w:r w:rsidR="001A5B97" w:rsidRPr="001A5B97">
        <w:rPr>
          <w:b w:val="0"/>
          <w:bCs w:val="0"/>
          <w:sz w:val="24"/>
          <w:szCs w:val="24"/>
        </w:rPr>
        <w:t>Скорая мед</w:t>
      </w:r>
      <w:r w:rsidR="001A5B97" w:rsidRPr="001A5B97">
        <w:rPr>
          <w:b w:val="0"/>
          <w:bCs w:val="0"/>
          <w:sz w:val="24"/>
          <w:szCs w:val="24"/>
        </w:rPr>
        <w:t>и</w:t>
      </w:r>
      <w:r w:rsidR="001A5B97" w:rsidRPr="001A5B97">
        <w:rPr>
          <w:b w:val="0"/>
          <w:bCs w:val="0"/>
          <w:sz w:val="24"/>
          <w:szCs w:val="24"/>
        </w:rPr>
        <w:t>цинская помощь</w:t>
      </w:r>
      <w:r w:rsidRPr="001A5B97">
        <w:rPr>
          <w:b w:val="0"/>
        </w:rPr>
        <w:t>»</w:t>
      </w:r>
      <w:r w:rsidRPr="000701E8">
        <w:rPr>
          <w:b w:val="0"/>
        </w:rPr>
        <w:t xml:space="preserve"> относится </w:t>
      </w:r>
      <w:r w:rsidRPr="00092190">
        <w:rPr>
          <w:b w:val="0"/>
        </w:rPr>
        <w:t xml:space="preserve">к </w:t>
      </w:r>
      <w:r w:rsidR="00092190" w:rsidRPr="00092190">
        <w:rPr>
          <w:b w:val="0"/>
        </w:rPr>
        <w:t>обязательным дисциплинам (вариативной части).</w:t>
      </w:r>
    </w:p>
    <w:p w:rsidR="006077AC" w:rsidRPr="004C1FF1" w:rsidRDefault="006077AC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092190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</w:t>
      </w:r>
      <w:r w:rsidR="000701E8">
        <w:t xml:space="preserve"> единиц</w:t>
      </w:r>
      <w:r>
        <w:t>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</w:t>
      </w:r>
      <w:r w:rsidR="000701E8">
        <w:t>), и</w:t>
      </w:r>
      <w:r>
        <w:t>з них аудиторных 24</w:t>
      </w:r>
      <w:r w:rsidR="003E0C09">
        <w:t xml:space="preserve"> часов</w:t>
      </w:r>
      <w:r w:rsidR="00C57E98">
        <w:t>.</w:t>
      </w:r>
    </w:p>
    <w:p w:rsidR="000701E8" w:rsidRPr="00C57E98" w:rsidRDefault="000701E8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D579B9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D579B9">
        <w:rPr>
          <w:rFonts w:ascii="Times New Roman" w:hAnsi="Times New Roman"/>
          <w:b/>
          <w:sz w:val="24"/>
          <w:szCs w:val="24"/>
        </w:rPr>
        <w:t>:</w:t>
      </w:r>
    </w:p>
    <w:p w:rsid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500"/>
        <w:gridCol w:w="6363"/>
      </w:tblGrid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>/</w:t>
            </w:r>
            <w:r w:rsidRPr="00D579B9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№ комп</w:t>
            </w:r>
            <w:r w:rsidRPr="003E0C09">
              <w:rPr>
                <w:rFonts w:ascii="Times New Roman" w:hAnsi="Times New Roman" w:cs="Times New Roman"/>
                <w:b/>
              </w:rPr>
              <w:t>е</w:t>
            </w:r>
            <w:r w:rsidRPr="003E0C09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Наименов</w:t>
            </w:r>
            <w:r w:rsidRPr="003E0C09">
              <w:rPr>
                <w:rFonts w:ascii="Times New Roman" w:hAnsi="Times New Roman" w:cs="Times New Roman"/>
                <w:b/>
              </w:rPr>
              <w:t>а</w:t>
            </w:r>
            <w:r w:rsidRPr="003E0C09">
              <w:rPr>
                <w:rFonts w:ascii="Times New Roman" w:hAnsi="Times New Roman" w:cs="Times New Roman"/>
                <w:b/>
              </w:rPr>
              <w:t>ние  раздела учебной дисциплины (модуля)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Содержание раздела в дидактических единицах  (темы ра</w:t>
            </w:r>
            <w:r w:rsidRPr="003E0C09">
              <w:rPr>
                <w:rFonts w:ascii="Times New Roman" w:hAnsi="Times New Roman" w:cs="Times New Roman"/>
                <w:b/>
              </w:rPr>
              <w:t>з</w:t>
            </w:r>
            <w:r w:rsidRPr="003E0C09">
              <w:rPr>
                <w:rFonts w:ascii="Times New Roman" w:hAnsi="Times New Roman" w:cs="Times New Roman"/>
                <w:b/>
              </w:rPr>
              <w:t>делов, модульные единицы)</w:t>
            </w:r>
          </w:p>
        </w:tc>
      </w:tr>
      <w:tr w:rsidR="00092190" w:rsidRPr="003E0C09" w:rsidTr="003E0C09">
        <w:tc>
          <w:tcPr>
            <w:tcW w:w="567" w:type="dxa"/>
          </w:tcPr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190" w:rsidRPr="003E0C09" w:rsidRDefault="00092190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092190" w:rsidRPr="003E0C09" w:rsidRDefault="00092190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092190" w:rsidRPr="003E0C09" w:rsidRDefault="00092190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092190" w:rsidRPr="003E0C09" w:rsidRDefault="00092190" w:rsidP="00092190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Общие в</w:t>
            </w: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просы травмат</w:t>
            </w: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логии</w:t>
            </w:r>
          </w:p>
        </w:tc>
        <w:tc>
          <w:tcPr>
            <w:tcW w:w="6363" w:type="dxa"/>
          </w:tcPr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b/>
                <w:sz w:val="24"/>
                <w:szCs w:val="24"/>
                <w:u w:val="single"/>
              </w:rPr>
              <w:t>Тема 1.</w:t>
            </w:r>
            <w:r w:rsidRPr="00092190">
              <w:rPr>
                <w:sz w:val="24"/>
                <w:szCs w:val="24"/>
                <w:u w:val="single"/>
              </w:rPr>
              <w:t xml:space="preserve"> Основные жизнеугрожающие последствия травм. Принципы оказания помощи при политравме в остром п</w:t>
            </w:r>
            <w:r w:rsidRPr="00092190">
              <w:rPr>
                <w:sz w:val="24"/>
                <w:szCs w:val="24"/>
                <w:u w:val="single"/>
              </w:rPr>
              <w:t>е</w:t>
            </w:r>
            <w:r w:rsidRPr="00092190">
              <w:rPr>
                <w:sz w:val="24"/>
                <w:szCs w:val="24"/>
                <w:u w:val="single"/>
              </w:rPr>
              <w:t>риоде травматической болезни на догоспитальном этапе  и в травмацентрах различного уровня.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Основные синдромы (острая кровопотеря, травматический шок, мозговая кома, острая дыхательная недостаточность) у пострадавших с тяжелыми повреждениями.</w:t>
            </w:r>
          </w:p>
          <w:p w:rsidR="00092190" w:rsidRPr="00092190" w:rsidRDefault="00092190" w:rsidP="00092190">
            <w:pPr>
              <w:pStyle w:val="11"/>
              <w:jc w:val="both"/>
              <w:rPr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Практические основы оказания помощи пострадавшим с политравмой в остром периоде травматической болезни на догоспитальном этапе (остановка кровотечения, ликвид</w:t>
            </w:r>
            <w:r w:rsidRPr="00092190">
              <w:rPr>
                <w:sz w:val="24"/>
                <w:szCs w:val="24"/>
              </w:rPr>
              <w:t>а</w:t>
            </w:r>
            <w:r w:rsidRPr="00092190">
              <w:rPr>
                <w:sz w:val="24"/>
                <w:szCs w:val="24"/>
              </w:rPr>
              <w:t xml:space="preserve">ция нарушений дыхания, обезболивание, транспортная иммобилизация, инфузионная терапия). Оказание помощи в травмацентрах различного уровня. 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b/>
                <w:sz w:val="24"/>
                <w:szCs w:val="24"/>
                <w:u w:val="single"/>
              </w:rPr>
              <w:t>Тема 2.</w:t>
            </w:r>
            <w:r w:rsidRPr="00092190">
              <w:rPr>
                <w:sz w:val="24"/>
                <w:szCs w:val="24"/>
                <w:u w:val="single"/>
              </w:rPr>
              <w:t xml:space="preserve"> Травматический шок и травматическая болезнь.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Частота и тяжесть шока при различных травмах и ранен</w:t>
            </w:r>
            <w:r w:rsidRPr="00092190">
              <w:rPr>
                <w:sz w:val="24"/>
                <w:szCs w:val="24"/>
              </w:rPr>
              <w:t>и</w:t>
            </w:r>
            <w:r w:rsidRPr="00092190">
              <w:rPr>
                <w:sz w:val="24"/>
                <w:szCs w:val="24"/>
              </w:rPr>
              <w:t>ях. История вопроса. Эволюция взглядов на шок и совр</w:t>
            </w:r>
            <w:r w:rsidRPr="00092190">
              <w:rPr>
                <w:sz w:val="24"/>
                <w:szCs w:val="24"/>
              </w:rPr>
              <w:t>е</w:t>
            </w:r>
            <w:r w:rsidRPr="00092190">
              <w:rPr>
                <w:sz w:val="24"/>
                <w:szCs w:val="24"/>
              </w:rPr>
              <w:t>менные представления об этиопатогенезе. Определение и понятия. Клинические симптомы и диагностика. Класс</w:t>
            </w:r>
            <w:r w:rsidRPr="00092190">
              <w:rPr>
                <w:sz w:val="24"/>
                <w:szCs w:val="24"/>
              </w:rPr>
              <w:t>и</w:t>
            </w:r>
            <w:r w:rsidRPr="00092190">
              <w:rPr>
                <w:sz w:val="24"/>
                <w:szCs w:val="24"/>
              </w:rPr>
              <w:t>фикация тяжести. Методы интенсивного лечения шока и критических расстройств жизнедеятельности при тяжелых ранениях и травмах. Терминальное состояние при ранен</w:t>
            </w:r>
            <w:r w:rsidRPr="00092190">
              <w:rPr>
                <w:sz w:val="24"/>
                <w:szCs w:val="24"/>
              </w:rPr>
              <w:t>и</w:t>
            </w:r>
            <w:r w:rsidRPr="00092190">
              <w:rPr>
                <w:sz w:val="24"/>
                <w:szCs w:val="24"/>
              </w:rPr>
              <w:t xml:space="preserve">ях и травмах. 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Травматическая болезнь. Определение. Частота. Патогенез. Классификация. Тяжесть травмы и тяжесть состояния. Трудности диагностики при сочетанной травме. Патоген</w:t>
            </w:r>
            <w:r w:rsidRPr="00092190">
              <w:rPr>
                <w:sz w:val="24"/>
                <w:szCs w:val="24"/>
              </w:rPr>
              <w:t>е</w:t>
            </w:r>
            <w:r w:rsidRPr="00092190">
              <w:rPr>
                <w:sz w:val="24"/>
                <w:szCs w:val="24"/>
              </w:rPr>
              <w:t>тическое обоснование лечения. Организация помощи п</w:t>
            </w:r>
            <w:r w:rsidRPr="00092190">
              <w:rPr>
                <w:sz w:val="24"/>
                <w:szCs w:val="24"/>
              </w:rPr>
              <w:t>о</w:t>
            </w:r>
            <w:r w:rsidRPr="00092190">
              <w:rPr>
                <w:sz w:val="24"/>
                <w:szCs w:val="24"/>
              </w:rPr>
              <w:t>страдавшим в состоянии травматического шока при эта</w:t>
            </w:r>
            <w:r w:rsidRPr="00092190">
              <w:rPr>
                <w:sz w:val="24"/>
                <w:szCs w:val="24"/>
              </w:rPr>
              <w:t>п</w:t>
            </w:r>
            <w:r w:rsidRPr="00092190">
              <w:rPr>
                <w:sz w:val="24"/>
                <w:szCs w:val="24"/>
              </w:rPr>
              <w:t>ном лечении в лечебных учреждениях  Краснодарского края.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b/>
                <w:sz w:val="24"/>
                <w:szCs w:val="24"/>
                <w:u w:val="single"/>
              </w:rPr>
              <w:t xml:space="preserve">Тема 3. </w:t>
            </w:r>
            <w:r w:rsidRPr="00092190">
              <w:rPr>
                <w:sz w:val="24"/>
                <w:szCs w:val="24"/>
                <w:u w:val="single"/>
              </w:rPr>
              <w:t>Ожоги и ожоговая болезнь. Современные подходы к лечению термических поражений.</w:t>
            </w:r>
          </w:p>
          <w:p w:rsidR="00092190" w:rsidRPr="00092190" w:rsidRDefault="00092190" w:rsidP="00092190">
            <w:pPr>
              <w:pStyle w:val="11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Определение ожога. Виды ожогов. Классификация по ст</w:t>
            </w:r>
            <w:r w:rsidRPr="00092190">
              <w:rPr>
                <w:sz w:val="24"/>
                <w:szCs w:val="24"/>
              </w:rPr>
              <w:t>е</w:t>
            </w:r>
            <w:r w:rsidRPr="00092190">
              <w:rPr>
                <w:sz w:val="24"/>
                <w:szCs w:val="24"/>
              </w:rPr>
              <w:t xml:space="preserve">пени тяжести. Определение площади ожога. </w:t>
            </w:r>
          </w:p>
          <w:p w:rsidR="00092190" w:rsidRPr="00092190" w:rsidRDefault="00092190" w:rsidP="00092190">
            <w:pPr>
              <w:pStyle w:val="11"/>
              <w:jc w:val="both"/>
              <w:rPr>
                <w:color w:val="FF0000"/>
                <w:sz w:val="24"/>
                <w:szCs w:val="24"/>
              </w:rPr>
            </w:pPr>
            <w:r w:rsidRPr="00092190">
              <w:rPr>
                <w:sz w:val="24"/>
                <w:szCs w:val="24"/>
              </w:rPr>
              <w:t>Ожоговая болезнь. Определение. Патогенез, клиническая картина периодов ожоговой болезни (ожогового шока, ос</w:t>
            </w:r>
            <w:r w:rsidRPr="00092190">
              <w:rPr>
                <w:sz w:val="24"/>
                <w:szCs w:val="24"/>
              </w:rPr>
              <w:t>т</w:t>
            </w:r>
            <w:r w:rsidRPr="00092190">
              <w:rPr>
                <w:sz w:val="24"/>
                <w:szCs w:val="24"/>
              </w:rPr>
              <w:lastRenderedPageBreak/>
              <w:t>рой ожоговой токсемии, периода гнойно-септических о</w:t>
            </w:r>
            <w:r w:rsidRPr="00092190">
              <w:rPr>
                <w:sz w:val="24"/>
                <w:szCs w:val="24"/>
              </w:rPr>
              <w:t>с</w:t>
            </w:r>
            <w:r w:rsidRPr="00092190">
              <w:rPr>
                <w:sz w:val="24"/>
                <w:szCs w:val="24"/>
              </w:rPr>
              <w:t>ложнений, реконвалесценции). Первая помощь при ожогах.  Современные подходы к лечению термических поражений.</w:t>
            </w:r>
          </w:p>
        </w:tc>
      </w:tr>
      <w:tr w:rsidR="00092190" w:rsidRPr="003E0C09" w:rsidTr="00720626">
        <w:tc>
          <w:tcPr>
            <w:tcW w:w="567" w:type="dxa"/>
            <w:vAlign w:val="center"/>
          </w:tcPr>
          <w:p w:rsidR="00092190" w:rsidRPr="003E0C09" w:rsidRDefault="00092190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092190" w:rsidRPr="003E0C09" w:rsidRDefault="00092190" w:rsidP="0072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90" w:rsidRPr="003E0C09" w:rsidRDefault="00092190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092190" w:rsidRPr="003E0C09" w:rsidRDefault="00092190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092190" w:rsidRPr="003E0C09" w:rsidRDefault="00092190" w:rsidP="00720626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092190" w:rsidRPr="003E0C09" w:rsidRDefault="00092190" w:rsidP="00092190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0" w:type="dxa"/>
          </w:tcPr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190" w:rsidRPr="00092190" w:rsidRDefault="00092190" w:rsidP="0009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90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вопросы      ортопедии</w:t>
            </w:r>
          </w:p>
        </w:tc>
        <w:tc>
          <w:tcPr>
            <w:tcW w:w="6363" w:type="dxa"/>
          </w:tcPr>
          <w:p w:rsidR="00092190" w:rsidRPr="00092190" w:rsidRDefault="00092190" w:rsidP="0009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4.  </w:t>
            </w:r>
            <w:r w:rsidRPr="0009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Деструктивно-дистрофические поражения суст</w:t>
            </w:r>
            <w:r w:rsidRPr="0009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09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вов (деформирующий артроз, остеохондроз позвоночника). </w:t>
            </w:r>
          </w:p>
          <w:p w:rsidR="00092190" w:rsidRPr="00092190" w:rsidRDefault="00092190" w:rsidP="0009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>Деформирующий артроз (Коксартроз, гонартроз, деформ</w:t>
            </w: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 xml:space="preserve">рующий артроз голеностопного сустава, деформирующие артрозы суставов верхней конечности). </w:t>
            </w:r>
          </w:p>
          <w:p w:rsidR="00092190" w:rsidRPr="00092190" w:rsidRDefault="00092190" w:rsidP="0009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>Остеохондроз позвоночника. Причины, Клиника, диагн</w:t>
            </w: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190">
              <w:rPr>
                <w:rFonts w:ascii="Times New Roman" w:hAnsi="Times New Roman" w:cs="Times New Roman"/>
                <w:sz w:val="24"/>
                <w:szCs w:val="24"/>
              </w:rPr>
              <w:t>стика, лечение.</w:t>
            </w:r>
          </w:p>
        </w:tc>
      </w:tr>
    </w:tbl>
    <w:p w:rsidR="003E0C09" w:rsidRP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907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6F3A4C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Pr="00C069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Pr="00C06907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Самоподготовка по учебным</w:t>
      </w:r>
      <w:r w:rsidR="00A06740" w:rsidRPr="00C06907">
        <w:rPr>
          <w:rFonts w:ascii="Times New Roman" w:hAnsi="Times New Roman" w:cs="Times New Roman"/>
          <w:bCs/>
          <w:sz w:val="24"/>
          <w:szCs w:val="24"/>
        </w:rPr>
        <w:t xml:space="preserve"> вопросам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>к промежуточному контролю</w:t>
      </w:r>
      <w:r w:rsidR="003E0C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устному собеседованию по билетам</w:t>
      </w:r>
    </w:p>
    <w:p w:rsidR="00A06740" w:rsidRPr="00E36985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907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C06907">
        <w:rPr>
          <w:rFonts w:ascii="Times New Roman" w:hAnsi="Times New Roman"/>
          <w:b/>
          <w:sz w:val="24"/>
          <w:szCs w:val="24"/>
        </w:rPr>
        <w:t>:</w:t>
      </w:r>
    </w:p>
    <w:p w:rsidR="00C06907" w:rsidRPr="00C06907" w:rsidRDefault="00DF36FE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r w:rsidRPr="007C6B50">
        <w:rPr>
          <w:rFonts w:ascii="Times New Roman" w:hAnsi="Times New Roman"/>
          <w:sz w:val="24"/>
          <w:szCs w:val="24"/>
        </w:rPr>
        <w:t xml:space="preserve"> </w:t>
      </w:r>
      <w:r w:rsidR="00C06907" w:rsidRPr="00C06907">
        <w:rPr>
          <w:rFonts w:ascii="Times New Roman" w:hAnsi="Times New Roman" w:cs="Times New Roman"/>
          <w:sz w:val="24"/>
          <w:szCs w:val="24"/>
        </w:rPr>
        <w:t>При изучении данной дисциплины используются следующие образовательные технологии: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C06907">
        <w:rPr>
          <w:rFonts w:ascii="Times New Roman" w:hAnsi="Times New Roman" w:cs="Times New Roman"/>
          <w:sz w:val="24"/>
          <w:szCs w:val="24"/>
        </w:rPr>
        <w:t>д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Интерактивный метод («inter» – это взаимный, «act» – действовать) – означает взаимодействовать, находиться в режиме беседы, диалога. В отличие от активных мет</w:t>
      </w:r>
      <w:r w:rsidRPr="00C06907">
        <w:rPr>
          <w:rFonts w:ascii="Times New Roman" w:hAnsi="Times New Roman" w:cs="Times New Roman"/>
          <w:sz w:val="24"/>
          <w:szCs w:val="24"/>
        </w:rPr>
        <w:t>о</w:t>
      </w:r>
      <w:r w:rsidRPr="00C06907">
        <w:rPr>
          <w:rFonts w:ascii="Times New Roman" w:hAnsi="Times New Roman" w:cs="Times New Roman"/>
          <w:sz w:val="24"/>
          <w:szCs w:val="24"/>
        </w:rPr>
        <w:t xml:space="preserve">дов, интерактивные ориентированы на более широкое взаимодействие обучающихся  не только с преподавателем, но и друг с другом.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Удельный вес занятий, проводимых в интерактивных формах, составляет не менее    30 % аудиторных занятий.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используются следующие  интерактивные методы: 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имитационные технологии:</w:t>
      </w:r>
      <w:r w:rsidRPr="00C06907">
        <w:rPr>
          <w:rFonts w:ascii="Times New Roman" w:hAnsi="Times New Roman" w:cs="Times New Roman"/>
          <w:i/>
          <w:sz w:val="24"/>
          <w:szCs w:val="24"/>
        </w:rPr>
        <w:t xml:space="preserve"> деловые игры, тренинг,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неимитационные технологии</w:t>
      </w:r>
      <w:r w:rsidRPr="00C06907">
        <w:rPr>
          <w:rFonts w:ascii="Times New Roman" w:hAnsi="Times New Roman" w:cs="Times New Roman"/>
          <w:i/>
          <w:sz w:val="24"/>
          <w:szCs w:val="24"/>
        </w:rPr>
        <w:t>:  лекция (проблемная), дискуссия (с «мозговым штурмом» и без него).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Тренинг (относится к имитационным технологиям) – это процесс получения нав</w:t>
      </w:r>
      <w:r w:rsidRPr="00C06907">
        <w:rPr>
          <w:rFonts w:ascii="Times New Roman" w:hAnsi="Times New Roman" w:cs="Times New Roman"/>
          <w:sz w:val="24"/>
          <w:szCs w:val="24"/>
        </w:rPr>
        <w:t>ы</w:t>
      </w:r>
      <w:r w:rsidRPr="00C06907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Проблемная лекция (относится к неимитационным технологиям). Проблемная ле</w:t>
      </w:r>
      <w:r w:rsidRPr="00C06907">
        <w:rPr>
          <w:rFonts w:ascii="Times New Roman" w:hAnsi="Times New Roman" w:cs="Times New Roman"/>
          <w:sz w:val="24"/>
          <w:szCs w:val="24"/>
        </w:rPr>
        <w:t>к</w:t>
      </w:r>
      <w:r w:rsidRPr="00C06907">
        <w:rPr>
          <w:rFonts w:ascii="Times New Roman" w:hAnsi="Times New Roman" w:cs="Times New Roman"/>
          <w:sz w:val="24"/>
          <w:szCs w:val="24"/>
        </w:rPr>
        <w:t>ция начинается с постановки проблемы, которую в ходе изложения материала необходимо решить. Готового решения в данном случае нет. То есть, деятельность обучающегося пр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>ближается к поисковой, исследовательской. На подобных лекциях обязателен диалог пр</w:t>
      </w:r>
      <w:r w:rsidRPr="00C06907">
        <w:rPr>
          <w:rFonts w:ascii="Times New Roman" w:hAnsi="Times New Roman" w:cs="Times New Roman"/>
          <w:sz w:val="24"/>
          <w:szCs w:val="24"/>
        </w:rPr>
        <w:t>е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подавателя и обучающихся, которые  активно привлекаются к обсуждению, поиску тех или иных вариантов решения. </w:t>
      </w:r>
    </w:p>
    <w:p w:rsidR="00C06907" w:rsidRPr="00DF36FE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Мозговой штурм – метод, при котором принимается любой ответ обучающегося на заданный вопрос. Важно не давать оценку высказываемым точкам зрения сразу, а прин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знать, </w:t>
      </w:r>
      <w:r w:rsidRPr="00DF36FE">
        <w:rPr>
          <w:rFonts w:ascii="Times New Roman" w:hAnsi="Times New Roman" w:cs="Times New Roman"/>
          <w:sz w:val="24"/>
          <w:szCs w:val="24"/>
        </w:rPr>
        <w:t>что от них не требуется  обоснований или объяснений ответов. Во время мозгового штурма участники свободно обмениваются идеями по мере их возникновения, таким о</w:t>
      </w:r>
      <w:r w:rsidRPr="00DF36FE">
        <w:rPr>
          <w:rFonts w:ascii="Times New Roman" w:hAnsi="Times New Roman" w:cs="Times New Roman"/>
          <w:sz w:val="24"/>
          <w:szCs w:val="24"/>
        </w:rPr>
        <w:t>б</w:t>
      </w:r>
      <w:r w:rsidRPr="00DF36FE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DF36FE" w:rsidRPr="00820DAD" w:rsidRDefault="00DF36FE" w:rsidP="00DF36F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C6B50">
        <w:rPr>
          <w:rFonts w:ascii="Times New Roman" w:hAnsi="Times New Roman"/>
          <w:b/>
          <w:sz w:val="24"/>
        </w:rPr>
        <w:t xml:space="preserve">Средства </w:t>
      </w:r>
      <w:r w:rsidRPr="00820DAD">
        <w:rPr>
          <w:rFonts w:ascii="Times New Roman" w:hAnsi="Times New Roman"/>
          <w:b/>
          <w:sz w:val="24"/>
        </w:rPr>
        <w:t>обучения: материально-технические и дидактические.</w:t>
      </w:r>
    </w:p>
    <w:p w:rsidR="00720626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lastRenderedPageBreak/>
        <w:t>В процессе преподавания дисциплины используются палаты отделений, учебные комнаты ГБУЗ «НИИ-ККБ №1 им. проф. С.В.Очаповского» МЗ КК</w:t>
      </w:r>
      <w:r w:rsidR="00720626">
        <w:rPr>
          <w:rFonts w:ascii="Times New Roman" w:hAnsi="Times New Roman" w:cs="Times New Roman"/>
          <w:sz w:val="24"/>
          <w:szCs w:val="24"/>
        </w:rPr>
        <w:t>.</w:t>
      </w:r>
    </w:p>
    <w:p w:rsidR="00C71F31" w:rsidRPr="00C71F31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Для оптимизации подачи лекционного материала, проведения семинарских занятий на кафедре используются мультимедийные комплексы  (ноутбук, проектор, экран), наб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>ры мультимедийных наглядных материалов по различным разделам дисциплины, фант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820DAD" w:rsidRPr="00820DAD" w:rsidRDefault="00820DAD" w:rsidP="00820D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BBE" w:rsidRPr="00DF36FE" w:rsidRDefault="00E36985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6FE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DF36FE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C06907" w:rsidRPr="00DF36FE" w:rsidRDefault="00720626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</w:t>
      </w:r>
    </w:p>
    <w:p w:rsidR="006D2BBE" w:rsidRPr="00DF36FE" w:rsidRDefault="006D2BBE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DF36FE">
        <w:rPr>
          <w:rFonts w:ascii="Times New Roman" w:hAnsi="Times New Roman" w:cs="Times New Roman"/>
          <w:sz w:val="24"/>
          <w:szCs w:val="24"/>
        </w:rPr>
        <w:t>Реферат</w:t>
      </w:r>
    </w:p>
    <w:p w:rsidR="00C06907" w:rsidRPr="00DF36FE" w:rsidRDefault="00C06907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DF36FE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6FE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06907" w:rsidRPr="00DF36FE" w:rsidRDefault="00C06907" w:rsidP="00C06907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Промежуточный контроль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устное собеседование по билетам</w:t>
      </w:r>
      <w:r w:rsidR="00DF36FE">
        <w:rPr>
          <w:rFonts w:ascii="Times New Roman" w:hAnsi="Times New Roman" w:cs="Times New Roman"/>
          <w:bCs/>
          <w:sz w:val="24"/>
          <w:szCs w:val="24"/>
        </w:rPr>
        <w:t xml:space="preserve"> (зачтено)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BFB" w:rsidRP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С</w:t>
      </w:r>
      <w:r w:rsidR="00B45BFB" w:rsidRPr="00DF36FE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DF36FE" w:rsidSect="004A3247">
      <w:headerReference w:type="default" r:id="rId8"/>
      <w:headerReference w:type="first" r:id="rId9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6D" w:rsidRDefault="0052176D" w:rsidP="003125CC">
      <w:pPr>
        <w:spacing w:after="0" w:line="240" w:lineRule="auto"/>
      </w:pPr>
      <w:r>
        <w:separator/>
      </w:r>
    </w:p>
  </w:endnote>
  <w:endnote w:type="continuationSeparator" w:id="1">
    <w:p w:rsidR="0052176D" w:rsidRDefault="0052176D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6D" w:rsidRDefault="0052176D" w:rsidP="003125CC">
      <w:pPr>
        <w:spacing w:after="0" w:line="240" w:lineRule="auto"/>
      </w:pPr>
      <w:r>
        <w:separator/>
      </w:r>
    </w:p>
  </w:footnote>
  <w:footnote w:type="continuationSeparator" w:id="1">
    <w:p w:rsidR="0052176D" w:rsidRDefault="0052176D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7A50D6" w:rsidRDefault="00513DF4">
        <w:pPr>
          <w:pStyle w:val="a3"/>
          <w:jc w:val="right"/>
        </w:pPr>
        <w:fldSimple w:instr="PAGE   \* MERGEFORMAT">
          <w:r w:rsidR="006F3A4C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D6" w:rsidRDefault="007A50D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B1"/>
    <w:multiLevelType w:val="hybridMultilevel"/>
    <w:tmpl w:val="DE786330"/>
    <w:lvl w:ilvl="0" w:tplc="E8EA03BE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5733C"/>
    <w:multiLevelType w:val="hybridMultilevel"/>
    <w:tmpl w:val="17EC3D24"/>
    <w:lvl w:ilvl="0" w:tplc="3A04F3A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50785808"/>
    <w:multiLevelType w:val="hybridMultilevel"/>
    <w:tmpl w:val="CFC8B466"/>
    <w:lvl w:ilvl="0" w:tplc="578AD7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8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7839A6"/>
    <w:multiLevelType w:val="hybridMultilevel"/>
    <w:tmpl w:val="CB840BC0"/>
    <w:lvl w:ilvl="0" w:tplc="578AD7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C374B"/>
    <w:multiLevelType w:val="hybridMultilevel"/>
    <w:tmpl w:val="126E848C"/>
    <w:lvl w:ilvl="0" w:tplc="4DEA64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0701E8"/>
    <w:rsid w:val="00092190"/>
    <w:rsid w:val="00117103"/>
    <w:rsid w:val="00134766"/>
    <w:rsid w:val="00184652"/>
    <w:rsid w:val="001A5B97"/>
    <w:rsid w:val="001B53DF"/>
    <w:rsid w:val="00271BD4"/>
    <w:rsid w:val="00294345"/>
    <w:rsid w:val="002D1C25"/>
    <w:rsid w:val="003106A1"/>
    <w:rsid w:val="003125CC"/>
    <w:rsid w:val="00366647"/>
    <w:rsid w:val="00392853"/>
    <w:rsid w:val="003B65E7"/>
    <w:rsid w:val="003D4105"/>
    <w:rsid w:val="003E0C09"/>
    <w:rsid w:val="004A3247"/>
    <w:rsid w:val="004C1FF1"/>
    <w:rsid w:val="0050561B"/>
    <w:rsid w:val="00513DF4"/>
    <w:rsid w:val="00514096"/>
    <w:rsid w:val="0052176D"/>
    <w:rsid w:val="0055417B"/>
    <w:rsid w:val="00577287"/>
    <w:rsid w:val="005E105F"/>
    <w:rsid w:val="006077AC"/>
    <w:rsid w:val="00633BB4"/>
    <w:rsid w:val="006C30E4"/>
    <w:rsid w:val="006D2BBE"/>
    <w:rsid w:val="006F3A4C"/>
    <w:rsid w:val="00700AB2"/>
    <w:rsid w:val="00720626"/>
    <w:rsid w:val="007A50D6"/>
    <w:rsid w:val="007E1F3E"/>
    <w:rsid w:val="00820DAD"/>
    <w:rsid w:val="008B4EDE"/>
    <w:rsid w:val="00921939"/>
    <w:rsid w:val="00972F1B"/>
    <w:rsid w:val="009F6706"/>
    <w:rsid w:val="00A06740"/>
    <w:rsid w:val="00A41E50"/>
    <w:rsid w:val="00A90E98"/>
    <w:rsid w:val="00AD46EC"/>
    <w:rsid w:val="00B45BFB"/>
    <w:rsid w:val="00BE248A"/>
    <w:rsid w:val="00BF3F35"/>
    <w:rsid w:val="00C06907"/>
    <w:rsid w:val="00C072E8"/>
    <w:rsid w:val="00C57E98"/>
    <w:rsid w:val="00C71F31"/>
    <w:rsid w:val="00D3189C"/>
    <w:rsid w:val="00D579B9"/>
    <w:rsid w:val="00DE2751"/>
    <w:rsid w:val="00DF36FE"/>
    <w:rsid w:val="00E36985"/>
    <w:rsid w:val="00E70A45"/>
    <w:rsid w:val="00E87F18"/>
    <w:rsid w:val="00F21303"/>
    <w:rsid w:val="00F7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E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19</cp:revision>
  <dcterms:created xsi:type="dcterms:W3CDTF">2018-06-25T13:43:00Z</dcterms:created>
  <dcterms:modified xsi:type="dcterms:W3CDTF">2018-09-12T18:01:00Z</dcterms:modified>
</cp:coreProperties>
</file>